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7B954">
      <w:pPr>
        <w:jc w:val="center"/>
        <w:rPr>
          <w:rFonts w:hint="eastAsia" w:ascii="华文中宋" w:hAnsi="华文中宋" w:eastAsia="华文中宋" w:cs="宋体"/>
          <w:b/>
          <w:bCs/>
          <w:color w:val="FF0000"/>
          <w:spacing w:val="200"/>
          <w:sz w:val="96"/>
          <w:szCs w:val="96"/>
        </w:rPr>
      </w:pPr>
      <w:r>
        <w:rPr>
          <w:rFonts w:hint="eastAsia" w:ascii="华文中宋" w:hAnsi="华文中宋" w:eastAsia="华文中宋" w:cs="宋体"/>
          <w:b/>
          <w:bCs/>
          <w:color w:val="FF0000"/>
          <w:spacing w:val="200"/>
          <w:sz w:val="96"/>
          <w:szCs w:val="96"/>
        </w:rPr>
        <w:t>中至远大讲堂</w:t>
      </w:r>
    </w:p>
    <w:p w14:paraId="3E4DBA09">
      <w:pPr>
        <w:jc w:val="center"/>
        <w:rPr>
          <w:rStyle w:val="25"/>
          <w:rFonts w:hint="eastAsia" w:ascii="仿宋" w:hAnsi="仿宋" w:eastAsia="仿宋" w:cs="仿宋"/>
          <w:bCs/>
          <w:sz w:val="28"/>
          <w:szCs w:val="28"/>
        </w:rPr>
      </w:pPr>
      <w:r>
        <w:rPr>
          <w:rStyle w:val="25"/>
          <w:rFonts w:hint="eastAsia" w:ascii="仿宋" w:hAnsi="仿宋" w:eastAsia="仿宋" w:cs="仿宋"/>
          <w:bCs/>
          <w:sz w:val="2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349885</wp:posOffset>
                </wp:positionV>
                <wp:extent cx="5975985" cy="25400"/>
                <wp:effectExtent l="19050" t="57150" r="43815" b="69850"/>
                <wp:wrapTopAndBottom/>
                <wp:docPr id="3" name="直线 2"/>
                <wp:cNvGraphicFramePr/>
                <a:graphic xmlns:a="http://schemas.openxmlformats.org/drawingml/2006/main">
                  <a:graphicData uri="http://schemas.microsoft.com/office/word/2010/wordprocessingShape">
                    <wps:wsp>
                      <wps:cNvCnPr/>
                      <wps:spPr>
                        <a:xfrm flipV="1">
                          <a:off x="0" y="0"/>
                          <a:ext cx="5975985" cy="25400"/>
                        </a:xfrm>
                        <a:prstGeom prst="line">
                          <a:avLst/>
                        </a:prstGeom>
                        <a:ln w="104775" cap="flat" cmpd="thickThin">
                          <a:solidFill>
                            <a:srgbClr val="FF0000"/>
                          </a:solidFill>
                          <a:prstDash val="solid"/>
                          <a:headEnd type="none" w="med" len="med"/>
                          <a:tailEnd type="none" w="med" len="med"/>
                        </a:ln>
                        <a:effectLst/>
                      </wps:spPr>
                      <wps:bodyPr/>
                    </wps:wsp>
                  </a:graphicData>
                </a:graphic>
              </wp:anchor>
            </w:drawing>
          </mc:Choice>
          <mc:Fallback>
            <w:pict>
              <v:line id="直线 2" o:spid="_x0000_s1026" o:spt="20" style="position:absolute;left:0pt;flip:y;margin-top:27.55pt;height:2pt;width:470.55pt;mso-position-horizontal:right;mso-position-horizontal-relative:margin;mso-wrap-distance-bottom:0pt;mso-wrap-distance-top:0pt;z-index:251661312;mso-width-relative:page;mso-height-relative:page;" filled="f" stroked="t" coordsize="21600,21600" o:gfxdata="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FBRRrVAAAABgEAAA8AAAAAAAAAAQAgAAAAIgAAAGRycy9kb3ducmV2LnhtbFBL&#10;AQIUABQAAAAIAIdO4kBKhQUd+QEAAPMDAAAOAAAAAAAAAAEAIAAAACQBAABkcnMvZTJvRG9jLnht&#10;bFBLBQYAAAAABgAGAFkBAACPBQAAAAA=&#10;">
                <v:fill on="f" focussize="0,0"/>
                <v:stroke weight="8.25pt" color="#FF0000" linestyle="thickThin" joinstyle="round"/>
                <v:imagedata o:title=""/>
                <o:lock v:ext="edit" aspectratio="f"/>
                <w10:wrap type="topAndBottom"/>
              </v:line>
            </w:pict>
          </mc:Fallback>
        </mc:AlternateContent>
      </w:r>
      <w:r>
        <w:rPr>
          <w:rStyle w:val="25"/>
          <w:rFonts w:hint="eastAsia" w:ascii="仿宋" w:hAnsi="仿宋" w:eastAsia="仿宋" w:cs="仿宋"/>
          <w:bCs/>
          <w:sz w:val="28"/>
        </w:rPr>
        <w:t>中至培</w:t>
      </w:r>
      <w:r>
        <w:rPr>
          <w:rStyle w:val="25"/>
          <w:rFonts w:hint="eastAsia" w:ascii="仿宋" w:hAnsi="仿宋" w:eastAsia="仿宋" w:cs="仿宋"/>
          <w:bCs/>
          <w:sz w:val="28"/>
          <w:szCs w:val="28"/>
        </w:rPr>
        <w:t>[</w:t>
      </w:r>
      <w:r>
        <w:rPr>
          <w:rStyle w:val="25"/>
          <w:rFonts w:hint="eastAsia" w:ascii="仿宋" w:hAnsi="仿宋" w:eastAsia="仿宋" w:cs="仿宋"/>
          <w:bCs/>
          <w:sz w:val="28"/>
        </w:rPr>
        <w:t>2</w:t>
      </w:r>
      <w:r>
        <w:rPr>
          <w:rStyle w:val="25"/>
          <w:rFonts w:hint="eastAsia" w:ascii="仿宋" w:hAnsi="仿宋" w:eastAsia="仿宋" w:cs="仿宋"/>
          <w:bCs/>
          <w:sz w:val="28"/>
          <w:szCs w:val="28"/>
        </w:rPr>
        <w:t>025]</w:t>
      </w:r>
      <w:r>
        <w:rPr>
          <w:rStyle w:val="25"/>
          <w:rFonts w:hint="eastAsia" w:ascii="仿宋" w:hAnsi="仿宋" w:eastAsia="仿宋" w:cs="仿宋"/>
          <w:bCs/>
          <w:sz w:val="28"/>
          <w:szCs w:val="28"/>
          <w:lang w:val="en-US" w:eastAsia="zh-CN"/>
        </w:rPr>
        <w:t>11</w:t>
      </w:r>
      <w:r>
        <w:rPr>
          <w:rStyle w:val="25"/>
          <w:rFonts w:hint="eastAsia" w:ascii="仿宋" w:hAnsi="仿宋" w:eastAsia="仿宋" w:cs="仿宋"/>
          <w:bCs/>
          <w:sz w:val="28"/>
          <w:szCs w:val="28"/>
        </w:rPr>
        <w:t>号</w:t>
      </w:r>
    </w:p>
    <w:p w14:paraId="46E6C209">
      <w:pPr>
        <w:pStyle w:val="8"/>
        <w:spacing w:beforeAutospacing="0" w:afterAutospacing="0" w:line="660" w:lineRule="exact"/>
        <w:jc w:val="center"/>
        <w:rPr>
          <w:rFonts w:hint="eastAsia" w:cs="Times New Roman"/>
          <w:b/>
          <w:bCs/>
          <w:sz w:val="44"/>
          <w:szCs w:val="44"/>
        </w:rPr>
      </w:pPr>
    </w:p>
    <w:p w14:paraId="720C564B">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b/>
          <w:bCs/>
          <w:sz w:val="44"/>
          <w:szCs w:val="44"/>
          <w:lang w:val="en-US" w:eastAsia="zh-CN"/>
        </w:rPr>
      </w:pPr>
      <w:r>
        <w:rPr>
          <w:b/>
          <w:bCs/>
          <w:sz w:val="44"/>
          <w:szCs w:val="44"/>
        </w:rPr>
        <w:t>关于举办</w:t>
      </w:r>
      <w:bookmarkStart w:id="0" w:name="_Hlk178500843"/>
      <w:r>
        <w:rPr>
          <w:rFonts w:hint="eastAsia"/>
          <w:b/>
          <w:bCs/>
          <w:sz w:val="44"/>
          <w:szCs w:val="44"/>
          <w:lang w:val="en-US" w:eastAsia="zh-CN"/>
        </w:rPr>
        <w:t>2025新形势下</w:t>
      </w:r>
      <w:r>
        <w:rPr>
          <w:rFonts w:hint="eastAsia"/>
          <w:b/>
          <w:bCs/>
          <w:sz w:val="44"/>
          <w:szCs w:val="44"/>
          <w:lang w:eastAsia="zh-CN"/>
        </w:rPr>
        <w:t>“</w:t>
      </w:r>
      <w:r>
        <w:rPr>
          <w:rFonts w:hint="eastAsia"/>
          <w:b/>
          <w:bCs/>
          <w:sz w:val="44"/>
          <w:szCs w:val="44"/>
          <w:lang w:val="en-US" w:eastAsia="zh-CN"/>
        </w:rPr>
        <w:t>两新”“两重”项目</w:t>
      </w:r>
      <w:r>
        <w:rPr>
          <w:rFonts w:hint="eastAsia"/>
          <w:b/>
          <w:bCs/>
          <w:sz w:val="44"/>
          <w:szCs w:val="44"/>
        </w:rPr>
        <w:t>投融资谋划</w:t>
      </w:r>
      <w:r>
        <w:rPr>
          <w:rFonts w:hint="eastAsia"/>
          <w:b/>
          <w:bCs/>
          <w:sz w:val="44"/>
          <w:szCs w:val="44"/>
          <w:lang w:val="en-US" w:eastAsia="zh-CN"/>
        </w:rPr>
        <w:t>及三类资金申请和</w:t>
      </w:r>
      <w:r>
        <w:rPr>
          <w:rFonts w:hint="eastAsia"/>
          <w:b/>
          <w:bCs/>
          <w:sz w:val="44"/>
          <w:szCs w:val="44"/>
        </w:rPr>
        <w:t>审计</w:t>
      </w:r>
      <w:r>
        <w:rPr>
          <w:rFonts w:hint="eastAsia"/>
          <w:b/>
          <w:bCs/>
          <w:sz w:val="44"/>
          <w:szCs w:val="44"/>
          <w:lang w:val="en-US" w:eastAsia="zh-CN"/>
        </w:rPr>
        <w:t>风险防控</w:t>
      </w:r>
    </w:p>
    <w:p w14:paraId="2A79078A">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b/>
          <w:bCs/>
          <w:sz w:val="44"/>
          <w:szCs w:val="44"/>
        </w:rPr>
      </w:pPr>
      <w:r>
        <w:rPr>
          <w:rFonts w:hint="eastAsia"/>
          <w:b/>
          <w:bCs/>
          <w:sz w:val="44"/>
          <w:szCs w:val="44"/>
          <w:lang w:val="en-US" w:eastAsia="zh-CN"/>
        </w:rPr>
        <w:t>城市更新和低空经济专题</w:t>
      </w:r>
      <w:r>
        <w:rPr>
          <w:rFonts w:hint="eastAsia"/>
          <w:b/>
          <w:bCs/>
          <w:sz w:val="44"/>
          <w:szCs w:val="44"/>
        </w:rPr>
        <w:t>培训班</w:t>
      </w:r>
      <w:bookmarkEnd w:id="0"/>
    </w:p>
    <w:p w14:paraId="78784A35">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b/>
          <w:bCs/>
          <w:sz w:val="44"/>
          <w:szCs w:val="44"/>
        </w:rPr>
      </w:pPr>
      <w:r>
        <w:rPr>
          <w:rFonts w:hint="eastAsia"/>
          <w:b/>
          <w:bCs/>
          <w:sz w:val="44"/>
          <w:szCs w:val="44"/>
        </w:rPr>
        <w:t>的</w:t>
      </w:r>
      <w:r>
        <w:rPr>
          <w:b/>
          <w:bCs/>
          <w:sz w:val="44"/>
          <w:szCs w:val="44"/>
        </w:rPr>
        <w:t>通知</w:t>
      </w:r>
    </w:p>
    <w:p w14:paraId="70423B9C">
      <w:pPr>
        <w:pStyle w:val="4"/>
        <w:autoSpaceDE/>
        <w:autoSpaceDN/>
        <w:spacing w:after="0"/>
        <w:ind w:left="0" w:leftChars="0"/>
        <w:jc w:val="both"/>
        <w:rPr>
          <w:rFonts w:hint="eastAsia"/>
          <w:sz w:val="32"/>
          <w:szCs w:val="32"/>
          <w:lang w:val="en-US"/>
        </w:rPr>
      </w:pPr>
    </w:p>
    <w:p w14:paraId="1DC7006E">
      <w:pPr>
        <w:pStyle w:val="4"/>
        <w:keepNext w:val="0"/>
        <w:keepLines w:val="0"/>
        <w:pageBreakBefore w:val="0"/>
        <w:widowControl w:val="0"/>
        <w:kinsoku/>
        <w:wordWrap/>
        <w:overflowPunct/>
        <w:topLinePunct w:val="0"/>
        <w:autoSpaceDE w:val="0"/>
        <w:autoSpaceDN w:val="0"/>
        <w:bidi w:val="0"/>
        <w:adjustRightInd/>
        <w:snapToGrid/>
        <w:spacing w:after="0" w:line="600" w:lineRule="exact"/>
        <w:ind w:left="0" w:leftChars="0"/>
        <w:jc w:val="both"/>
        <w:textAlignment w:val="auto"/>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各有关单位：</w:t>
      </w:r>
    </w:p>
    <w:p w14:paraId="49BC6DE3">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为了帮助地方政府、融资平台、社会资本和金融机构等参与主体，具备足够的投融资策划能力参与项目，大讲堂将举办：</w:t>
      </w:r>
      <w:r>
        <w:rPr>
          <w:rFonts w:hint="eastAsia" w:ascii="仿宋" w:hAnsi="仿宋" w:eastAsia="仿宋" w:cs="仿宋"/>
          <w:b/>
          <w:bCs/>
          <w:sz w:val="32"/>
          <w:szCs w:val="32"/>
          <w:lang w:val="en-US" w:eastAsia="zh-CN" w:bidi="zh-CN"/>
        </w:rPr>
        <w:t>2025新形势下“两新”“两重”项目投融资谋划及三类资金申请和审计风险防控、城市更新和低空经济专题培训班</w:t>
      </w:r>
      <w:r>
        <w:rPr>
          <w:rFonts w:hint="eastAsia" w:ascii="仿宋" w:hAnsi="仿宋" w:eastAsia="仿宋" w:cs="仿宋"/>
          <w:sz w:val="32"/>
          <w:szCs w:val="32"/>
          <w:lang w:val="en-US" w:eastAsia="zh-CN" w:bidi="zh-CN"/>
        </w:rPr>
        <w:t>。</w:t>
      </w:r>
    </w:p>
    <w:p w14:paraId="5CD07222">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bidi="zh-CN"/>
        </w:rPr>
        <w:t>现将具体事宜通知如下：</w:t>
      </w:r>
    </w:p>
    <w:p w14:paraId="3F578D5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、参培对象</w:t>
      </w:r>
    </w:p>
    <w:p w14:paraId="0ED6476D">
      <w:pPr>
        <w:keepNext w:val="0"/>
        <w:keepLines w:val="0"/>
        <w:pageBreakBefore w:val="0"/>
        <w:kinsoku/>
        <w:wordWrap/>
        <w:overflowPunct/>
        <w:topLinePunct w:val="0"/>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政府：发改委、财政局、国资委（局）、乡村振兴局、教育局、工信局、民政局、自然资源与规划局、住建局、交通局、农业农村局、林业局、水利局、商务局、文广体旅局、卫健委、审计局、统计局、市场监督管理局、大项目办等单位负责人及项目主管负责人；</w:t>
      </w:r>
    </w:p>
    <w:p w14:paraId="6B40AE63">
      <w:pPr>
        <w:keepNext w:val="0"/>
        <w:keepLines w:val="0"/>
        <w:pageBreakBefore w:val="0"/>
        <w:kinsoku/>
        <w:wordWrap/>
        <w:overflowPunct/>
        <w:topLinePunct w:val="0"/>
        <w:bidi w:val="0"/>
        <w:adjustRightInd/>
        <w:snapToGrid/>
        <w:spacing w:line="600" w:lineRule="exact"/>
        <w:ind w:firstLine="566" w:firstLineChars="177"/>
        <w:jc w:val="both"/>
        <w:textAlignment w:val="auto"/>
        <w:rPr>
          <w:rFonts w:hint="eastAsia" w:ascii="仿宋" w:hAnsi="仿宋" w:eastAsia="仿宋" w:cs="仿宋"/>
          <w:sz w:val="32"/>
          <w:szCs w:val="32"/>
        </w:rPr>
      </w:pPr>
      <w:r>
        <w:rPr>
          <w:rFonts w:hint="eastAsia" w:ascii="仿宋" w:hAnsi="仿宋" w:eastAsia="仿宋" w:cs="仿宋"/>
          <w:sz w:val="32"/>
          <w:szCs w:val="32"/>
        </w:rPr>
        <w:t>企业：参与新型城镇化、大基建和政府项目的央企、国企、民企、上市公司高管及项目负责人；低空运营机构、科研院所、航空企事业单位负责人等。低空产业链与企业项目负责人，战略负责人。</w:t>
      </w:r>
    </w:p>
    <w:p w14:paraId="3AB064BA">
      <w:pPr>
        <w:keepNext w:val="0"/>
        <w:keepLines w:val="0"/>
        <w:pageBreakBefore w:val="0"/>
        <w:kinsoku/>
        <w:wordWrap/>
        <w:overflowPunct/>
        <w:topLinePunct w:val="0"/>
        <w:bidi w:val="0"/>
        <w:adjustRightInd/>
        <w:snapToGrid/>
        <w:spacing w:line="600" w:lineRule="exact"/>
        <w:ind w:firstLine="566" w:firstLineChars="177"/>
        <w:jc w:val="both"/>
        <w:textAlignment w:val="auto"/>
        <w:rPr>
          <w:rFonts w:hint="eastAsia" w:ascii="仿宋" w:hAnsi="仿宋" w:eastAsia="仿宋" w:cs="仿宋"/>
          <w:sz w:val="32"/>
          <w:szCs w:val="32"/>
        </w:rPr>
      </w:pPr>
      <w:r>
        <w:rPr>
          <w:rFonts w:hint="eastAsia" w:ascii="仿宋" w:hAnsi="仿宋" w:eastAsia="仿宋" w:cs="仿宋"/>
          <w:sz w:val="32"/>
          <w:szCs w:val="32"/>
        </w:rPr>
        <w:t>金融：商业银行、证券公司、基金公司、资管公司、保理公司、担保公司、评级公司等。</w:t>
      </w:r>
    </w:p>
    <w:p w14:paraId="062E8188">
      <w:pPr>
        <w:keepNext w:val="0"/>
        <w:keepLines w:val="0"/>
        <w:pageBreakBefore w:val="0"/>
        <w:kinsoku/>
        <w:wordWrap/>
        <w:overflowPunct/>
        <w:topLinePunct w:val="0"/>
        <w:bidi w:val="0"/>
        <w:adjustRightInd/>
        <w:snapToGrid/>
        <w:spacing w:line="600" w:lineRule="exact"/>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培训内容</w:t>
      </w:r>
    </w:p>
    <w:p w14:paraId="55F5BA5D">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楷体" w:hAnsi="楷体" w:eastAsia="楷体" w:cs="楷体"/>
          <w:b/>
          <w:sz w:val="32"/>
          <w:szCs w:val="32"/>
          <w:lang w:val="en-US" w:eastAsia="zh-CN"/>
        </w:rPr>
      </w:pPr>
      <w:r>
        <w:rPr>
          <w:rFonts w:hint="eastAsia" w:ascii="楷体" w:hAnsi="楷体" w:eastAsia="楷体" w:cs="楷体"/>
          <w:b/>
          <w:sz w:val="32"/>
          <w:szCs w:val="32"/>
        </w:rPr>
        <w:t>模块一、</w:t>
      </w:r>
      <w:r>
        <w:rPr>
          <w:rFonts w:hint="eastAsia" w:ascii="楷体" w:hAnsi="楷体" w:eastAsia="楷体" w:cs="楷体"/>
          <w:b/>
          <w:sz w:val="32"/>
          <w:szCs w:val="32"/>
          <w:lang w:val="en-US" w:eastAsia="zh-CN"/>
        </w:rPr>
        <w:t>“两新”“两重”</w:t>
      </w:r>
      <w:r>
        <w:rPr>
          <w:rFonts w:hint="eastAsia" w:ascii="楷体" w:hAnsi="楷体" w:eastAsia="楷体" w:cs="楷体"/>
          <w:b/>
          <w:sz w:val="32"/>
          <w:szCs w:val="32"/>
        </w:rPr>
        <w:t>投融资谋划</w:t>
      </w:r>
      <w:r>
        <w:rPr>
          <w:rFonts w:hint="eastAsia" w:ascii="楷体" w:hAnsi="楷体" w:eastAsia="楷体" w:cs="楷体"/>
          <w:b/>
          <w:sz w:val="32"/>
          <w:szCs w:val="32"/>
          <w:lang w:val="en-US" w:eastAsia="zh-CN"/>
        </w:rPr>
        <w:t>和三类资金申请</w:t>
      </w:r>
    </w:p>
    <w:p w14:paraId="15C638F5">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楷体" w:hAnsi="楷体" w:eastAsia="楷体" w:cs="楷体"/>
          <w:b/>
          <w:sz w:val="32"/>
          <w:szCs w:val="32"/>
          <w:lang w:val="en-US"/>
        </w:rPr>
      </w:pPr>
      <w:r>
        <w:rPr>
          <w:rFonts w:hint="eastAsia" w:ascii="仿宋" w:hAnsi="仿宋" w:eastAsia="仿宋" w:cs="仿宋"/>
          <w:b w:val="0"/>
          <w:bCs/>
          <w:sz w:val="32"/>
          <w:szCs w:val="32"/>
          <w:lang w:val="en-US" w:eastAsia="zh-CN"/>
        </w:rPr>
        <w:t>（一）</w:t>
      </w:r>
      <w:r>
        <w:rPr>
          <w:rFonts w:hint="eastAsia" w:ascii="仿宋" w:hAnsi="仿宋" w:eastAsia="仿宋" w:cs="仿宋"/>
          <w:b w:val="0"/>
          <w:bCs/>
          <w:sz w:val="32"/>
          <w:szCs w:val="32"/>
          <w:lang w:val="en-US"/>
        </w:rPr>
        <w:t>我国政府投融资模式演变回顾和现状分析</w:t>
      </w:r>
    </w:p>
    <w:p w14:paraId="2D7ED62F">
      <w:pPr>
        <w:pStyle w:val="15"/>
        <w:keepNext w:val="0"/>
        <w:keepLines w:val="0"/>
        <w:pageBreakBefore w:val="0"/>
        <w:widowControl w:val="0"/>
        <w:numPr>
          <w:ilvl w:val="0"/>
          <w:numId w:val="1"/>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中央经济工作会议、12万亿化债政策、一揽子增量政策解读</w:t>
      </w:r>
    </w:p>
    <w:p w14:paraId="46AA1073">
      <w:pPr>
        <w:pStyle w:val="15"/>
        <w:keepNext w:val="0"/>
        <w:keepLines w:val="0"/>
        <w:pageBreakBefore w:val="0"/>
        <w:widowControl w:val="0"/>
        <w:numPr>
          <w:ilvl w:val="0"/>
          <w:numId w:val="1"/>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金融支持融资平台化解债务(35号文、134号文、226号文)、重点省份政府投资项目管理(47号文)、市政基础设施管理（108号文）、融资平台规范退出（150号文）等政策解读</w:t>
      </w:r>
    </w:p>
    <w:p w14:paraId="29649D06">
      <w:pPr>
        <w:pStyle w:val="15"/>
        <w:keepNext w:val="0"/>
        <w:keepLines w:val="0"/>
        <w:pageBreakBefore w:val="0"/>
        <w:widowControl w:val="0"/>
        <w:numPr>
          <w:ilvl w:val="0"/>
          <w:numId w:val="1"/>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我国政府投融资体制的发展历程，从财政资金（土地财政）、政府投融资平台、PPP新机制、专项债，到非传统投融资模式（投资人+EPC、EOD、TOD等）</w:t>
      </w:r>
    </w:p>
    <w:p w14:paraId="0F5F4E65">
      <w:pPr>
        <w:pStyle w:val="15"/>
        <w:keepNext w:val="0"/>
        <w:keepLines w:val="0"/>
        <w:pageBreakBefore w:val="0"/>
        <w:widowControl w:val="0"/>
        <w:numPr>
          <w:ilvl w:val="0"/>
          <w:numId w:val="1"/>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当前我国政府投融资体制对投融资模式的总体要求</w:t>
      </w:r>
    </w:p>
    <w:p w14:paraId="0B8BAE43">
      <w:pPr>
        <w:keepNext w:val="0"/>
        <w:keepLines w:val="0"/>
        <w:pageBreakBefore w:val="0"/>
        <w:kinsoku/>
        <w:wordWrap/>
        <w:overflowPunct/>
        <w:topLinePunct w:val="0"/>
        <w:bidi w:val="0"/>
        <w:adjustRightInd/>
        <w:snapToGrid/>
        <w:spacing w:line="600" w:lineRule="exact"/>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（二）最新国家财政、金融和投融资政策的解读</w:t>
      </w:r>
    </w:p>
    <w:p w14:paraId="4BE249B2">
      <w:pPr>
        <w:pStyle w:val="15"/>
        <w:keepNext w:val="0"/>
        <w:keepLines w:val="0"/>
        <w:pageBreakBefore w:val="0"/>
        <w:numPr>
          <w:ilvl w:val="0"/>
          <w:numId w:val="2"/>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我国财政金融政策和形势对基础设施投资的影响分析</w:t>
      </w:r>
    </w:p>
    <w:p w14:paraId="23178958">
      <w:pPr>
        <w:pStyle w:val="15"/>
        <w:keepNext w:val="0"/>
        <w:keepLines w:val="0"/>
        <w:pageBreakBefore w:val="0"/>
        <w:numPr>
          <w:ilvl w:val="0"/>
          <w:numId w:val="2"/>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从基础设施相关领域政策（如特许经营、基础设施REITs、专项债、超长期特别国债），看未来基础设施投资的重点方向和区域</w:t>
      </w:r>
    </w:p>
    <w:p w14:paraId="123AA434">
      <w:pPr>
        <w:pStyle w:val="15"/>
        <w:keepNext w:val="0"/>
        <w:keepLines w:val="0"/>
        <w:pageBreakBefore w:val="0"/>
        <w:numPr>
          <w:ilvl w:val="0"/>
          <w:numId w:val="2"/>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重点政府投融资政策的详解</w:t>
      </w:r>
      <w:r>
        <w:rPr>
          <w:rFonts w:hint="eastAsia" w:ascii="仿宋" w:hAnsi="仿宋" w:eastAsia="仿宋" w:cs="仿宋"/>
          <w:kern w:val="2"/>
          <w:sz w:val="32"/>
          <w:szCs w:val="32"/>
          <w:lang w:val="en-US" w:eastAsia="zh-CN" w:bidi="ar-SA"/>
          <w14:ligatures w14:val="standardContextual"/>
        </w:rPr>
        <w:t>（</w:t>
      </w:r>
      <w:r>
        <w:rPr>
          <w:rFonts w:hint="eastAsia" w:ascii="仿宋" w:hAnsi="仿宋" w:eastAsia="仿宋" w:cs="仿宋"/>
          <w:kern w:val="2"/>
          <w:sz w:val="32"/>
          <w:szCs w:val="32"/>
          <w:lang w:val="en-US" w:bidi="ar-SA"/>
          <w14:ligatures w14:val="standardContextual"/>
        </w:rPr>
        <w:t>《政府投资条例》、财预[2017]50号文、国办发[2022]19号文、财资[2024]108号文</w:t>
      </w:r>
      <w:r>
        <w:rPr>
          <w:rFonts w:hint="eastAsia" w:ascii="仿宋" w:hAnsi="仿宋" w:eastAsia="仿宋" w:cs="仿宋"/>
          <w:kern w:val="2"/>
          <w:sz w:val="32"/>
          <w:szCs w:val="32"/>
          <w:lang w:val="en-US" w:eastAsia="zh-CN" w:bidi="ar-SA"/>
          <w14:ligatures w14:val="standardContextual"/>
        </w:rPr>
        <w:t>）</w:t>
      </w:r>
    </w:p>
    <w:p w14:paraId="0FDB6CFE">
      <w:pPr>
        <w:pStyle w:val="15"/>
        <w:keepNext w:val="0"/>
        <w:keepLines w:val="0"/>
        <w:pageBreakBefore w:val="0"/>
        <w:numPr>
          <w:ilvl w:val="0"/>
          <w:numId w:val="2"/>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中国银保监会、中国人民银行发布的《商业银行金融资产风险分类办法》（银保监会1号令、国办发35号文、134号文、226号文）等，对地方政府和投融资平台公司银行债务化解的影响分析</w:t>
      </w:r>
    </w:p>
    <w:p w14:paraId="17F489EF">
      <w:pPr>
        <w:pStyle w:val="15"/>
        <w:keepNext w:val="0"/>
        <w:keepLines w:val="0"/>
        <w:pageBreakBefore w:val="0"/>
        <w:numPr>
          <w:ilvl w:val="0"/>
          <w:numId w:val="2"/>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审计署最新工作报告对地方财政管理和专项债券审计的案例分析</w:t>
      </w:r>
    </w:p>
    <w:p w14:paraId="60B1E9A3">
      <w:pPr>
        <w:keepNext w:val="0"/>
        <w:keepLines w:val="0"/>
        <w:pageBreakBefore w:val="0"/>
        <w:kinsoku/>
        <w:wordWrap/>
        <w:overflowPunct/>
        <w:topLinePunct w:val="0"/>
        <w:bidi w:val="0"/>
        <w:adjustRightInd/>
        <w:snapToGrid/>
        <w:spacing w:line="600" w:lineRule="exact"/>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（三）地方政府专项债的申报和规范使用</w:t>
      </w:r>
    </w:p>
    <w:p w14:paraId="0CE446D1">
      <w:pPr>
        <w:pStyle w:val="15"/>
        <w:keepNext w:val="0"/>
        <w:keepLines w:val="0"/>
        <w:pageBreakBefore w:val="0"/>
        <w:numPr>
          <w:ilvl w:val="0"/>
          <w:numId w:val="3"/>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我国专项债市场的发行沿革、市场规模和限额管理</w:t>
      </w:r>
    </w:p>
    <w:p w14:paraId="1B0246EE">
      <w:pPr>
        <w:pStyle w:val="15"/>
        <w:keepNext w:val="0"/>
        <w:keepLines w:val="0"/>
        <w:pageBreakBefore w:val="0"/>
        <w:numPr>
          <w:ilvl w:val="0"/>
          <w:numId w:val="3"/>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专项债最新政策解读：募投领域和资本金适用范围的扩大化、三个优先和三个尽量等要求的灵活应用</w:t>
      </w:r>
    </w:p>
    <w:p w14:paraId="74CA9CE1">
      <w:pPr>
        <w:pStyle w:val="15"/>
        <w:keepNext w:val="0"/>
        <w:keepLines w:val="0"/>
        <w:pageBreakBefore w:val="0"/>
        <w:numPr>
          <w:ilvl w:val="0"/>
          <w:numId w:val="3"/>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新增专项债申报策略和案例：准备工作的关键点、自求平衡项目包装策略、一案两书的编制要点、发改和财政系统审核的关注点</w:t>
      </w:r>
    </w:p>
    <w:p w14:paraId="4457681D">
      <w:pPr>
        <w:pStyle w:val="15"/>
        <w:keepNext w:val="0"/>
        <w:keepLines w:val="0"/>
        <w:pageBreakBefore w:val="0"/>
        <w:numPr>
          <w:ilvl w:val="0"/>
          <w:numId w:val="3"/>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专项债券的审计重点、合规性分析和规范使用要点</w:t>
      </w:r>
    </w:p>
    <w:p w14:paraId="381DF481">
      <w:pPr>
        <w:pStyle w:val="15"/>
        <w:keepNext w:val="0"/>
        <w:keepLines w:val="0"/>
        <w:pageBreakBefore w:val="0"/>
        <w:numPr>
          <w:ilvl w:val="0"/>
          <w:numId w:val="3"/>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专项债项目谋划方向与案例分析</w:t>
      </w:r>
    </w:p>
    <w:p w14:paraId="5F057B1B">
      <w:pPr>
        <w:keepNext w:val="0"/>
        <w:keepLines w:val="0"/>
        <w:pageBreakBefore w:val="0"/>
        <w:kinsoku/>
        <w:wordWrap/>
        <w:overflowPunct/>
        <w:topLinePunct w:val="0"/>
        <w:bidi w:val="0"/>
        <w:adjustRightInd/>
        <w:snapToGrid/>
        <w:spacing w:line="600" w:lineRule="exact"/>
        <w:jc w:val="both"/>
        <w:textAlignment w:val="auto"/>
        <w:rPr>
          <w:rFonts w:hint="eastAsia" w:ascii="仿宋" w:hAnsi="仿宋" w:eastAsia="仿宋" w:cs="仿宋"/>
          <w:b/>
          <w:sz w:val="32"/>
          <w:szCs w:val="32"/>
          <w:lang w:val="en-US" w:eastAsia="zh-CN"/>
        </w:rPr>
      </w:pPr>
      <w:r>
        <w:rPr>
          <w:rFonts w:hint="eastAsia" w:ascii="仿宋" w:hAnsi="仿宋" w:eastAsia="仿宋" w:cs="仿宋"/>
          <w:b w:val="0"/>
          <w:bCs/>
          <w:sz w:val="32"/>
          <w:szCs w:val="32"/>
          <w:lang w:val="en-US" w:eastAsia="zh-CN"/>
        </w:rPr>
        <w:t>（四）中央预算内资金和超长期特别国债的申报和实务操作</w:t>
      </w:r>
    </w:p>
    <w:p w14:paraId="2314E30C">
      <w:pPr>
        <w:pStyle w:val="15"/>
        <w:keepNext w:val="0"/>
        <w:keepLines w:val="0"/>
        <w:pageBreakBefore w:val="0"/>
        <w:numPr>
          <w:ilvl w:val="0"/>
          <w:numId w:val="4"/>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中央预算内投资资金的最新政策解读</w:t>
      </w:r>
    </w:p>
    <w:p w14:paraId="786EB6B6">
      <w:pPr>
        <w:pStyle w:val="15"/>
        <w:keepNext w:val="0"/>
        <w:keepLines w:val="0"/>
        <w:pageBreakBefore w:val="0"/>
        <w:numPr>
          <w:ilvl w:val="0"/>
          <w:numId w:val="4"/>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中央预算内投资分专项申报的政策要求和申报要点</w:t>
      </w:r>
    </w:p>
    <w:p w14:paraId="0D940F10">
      <w:pPr>
        <w:pStyle w:val="15"/>
        <w:keepNext w:val="0"/>
        <w:keepLines w:val="0"/>
        <w:pageBreakBefore w:val="0"/>
        <w:numPr>
          <w:ilvl w:val="0"/>
          <w:numId w:val="4"/>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中央预算内投资资金申报的案例分析</w:t>
      </w:r>
    </w:p>
    <w:p w14:paraId="2A9C7EA1">
      <w:pPr>
        <w:pStyle w:val="15"/>
        <w:keepNext w:val="0"/>
        <w:keepLines w:val="0"/>
        <w:pageBreakBefore w:val="0"/>
        <w:numPr>
          <w:ilvl w:val="0"/>
          <w:numId w:val="4"/>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中央预算内投资资金与万亿超长期特别国债的对比分析</w:t>
      </w:r>
    </w:p>
    <w:p w14:paraId="3BEAFF5E">
      <w:pPr>
        <w:pStyle w:val="15"/>
        <w:keepNext w:val="0"/>
        <w:keepLines w:val="0"/>
        <w:pageBreakBefore w:val="0"/>
        <w:numPr>
          <w:ilvl w:val="0"/>
          <w:numId w:val="4"/>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eastAsia="zh-CN" w:bidi="ar-SA"/>
          <w14:ligatures w14:val="standardContextual"/>
        </w:rPr>
      </w:pPr>
      <w:r>
        <w:rPr>
          <w:rFonts w:hint="eastAsia" w:ascii="仿宋" w:hAnsi="仿宋" w:eastAsia="仿宋" w:cs="仿宋"/>
          <w:kern w:val="2"/>
          <w:sz w:val="32"/>
          <w:szCs w:val="32"/>
          <w:lang w:val="en-US" w:bidi="ar-SA"/>
          <w14:ligatures w14:val="standardContextual"/>
        </w:rPr>
        <w:t>超长期特别国债的适用范围和申请流程</w:t>
      </w:r>
    </w:p>
    <w:p w14:paraId="03C31564">
      <w:pPr>
        <w:pStyle w:val="15"/>
        <w:keepNext w:val="0"/>
        <w:keepLines w:val="0"/>
        <w:pageBreakBefore w:val="0"/>
        <w:numPr>
          <w:ilvl w:val="0"/>
          <w:numId w:val="4"/>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eastAsia="zh-CN" w:bidi="ar-SA"/>
          <w14:ligatures w14:val="standardContextual"/>
        </w:rPr>
      </w:pPr>
      <w:r>
        <w:rPr>
          <w:rFonts w:hint="eastAsia" w:ascii="仿宋" w:hAnsi="仿宋" w:eastAsia="仿宋" w:cs="仿宋"/>
          <w:kern w:val="2"/>
          <w:sz w:val="32"/>
          <w:szCs w:val="32"/>
          <w:lang w:val="en-US" w:bidi="ar-SA"/>
          <w14:ligatures w14:val="standardContextual"/>
        </w:rPr>
        <w:t>地方政府承接中央和省级专项资金的总体谋划</w:t>
      </w:r>
    </w:p>
    <w:p w14:paraId="5046908B">
      <w:pPr>
        <w:keepNext w:val="0"/>
        <w:keepLines w:val="0"/>
        <w:pageBreakBefore w:val="0"/>
        <w:widowControl/>
        <w:shd w:val="clear" w:color="auto" w:fill="FFFFFF"/>
        <w:kinsoku/>
        <w:wordWrap/>
        <w:overflowPunct/>
        <w:topLinePunct w:val="0"/>
        <w:bidi w:val="0"/>
        <w:adjustRightInd/>
        <w:snapToGrid/>
        <w:spacing w:line="600" w:lineRule="exact"/>
        <w:ind w:right="120"/>
        <w:jc w:val="both"/>
        <w:textAlignment w:val="auto"/>
        <w:rPr>
          <w:rFonts w:hint="eastAsia" w:ascii="楷体" w:hAnsi="楷体" w:eastAsia="楷体" w:cs="楷体"/>
          <w:b/>
          <w:sz w:val="32"/>
          <w:szCs w:val="32"/>
        </w:rPr>
      </w:pPr>
      <w:r>
        <w:rPr>
          <w:rFonts w:hint="eastAsia" w:ascii="楷体" w:hAnsi="楷体" w:eastAsia="楷体" w:cs="楷体"/>
          <w:b/>
          <w:sz w:val="32"/>
          <w:szCs w:val="32"/>
        </w:rPr>
        <w:t>模块</w:t>
      </w:r>
      <w:r>
        <w:rPr>
          <w:rFonts w:hint="eastAsia" w:ascii="楷体" w:hAnsi="楷体" w:eastAsia="楷体" w:cs="楷体"/>
          <w:b/>
          <w:sz w:val="32"/>
          <w:szCs w:val="32"/>
          <w:lang w:val="en-US" w:eastAsia="zh-CN"/>
        </w:rPr>
        <w:t>二</w:t>
      </w:r>
      <w:r>
        <w:rPr>
          <w:rFonts w:hint="eastAsia" w:ascii="楷体" w:hAnsi="楷体" w:eastAsia="楷体" w:cs="楷体"/>
          <w:b/>
          <w:sz w:val="32"/>
          <w:szCs w:val="32"/>
        </w:rPr>
        <w:t>、存量PPP项目争议纠纷处理案例与建议</w:t>
      </w:r>
    </w:p>
    <w:p w14:paraId="1BDDADC1">
      <w:pPr>
        <w:keepNext w:val="0"/>
        <w:keepLines w:val="0"/>
        <w:pageBreakBefore w:val="0"/>
        <w:widowControl/>
        <w:shd w:val="clear" w:color="auto" w:fill="FFFFFF"/>
        <w:kinsoku/>
        <w:wordWrap/>
        <w:overflowPunct/>
        <w:topLinePunct w:val="0"/>
        <w:bidi w:val="0"/>
        <w:adjustRightInd/>
        <w:snapToGrid/>
        <w:spacing w:line="600" w:lineRule="exact"/>
        <w:ind w:right="12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（一）</w:t>
      </w:r>
      <w:r>
        <w:rPr>
          <w:rFonts w:hint="eastAsia" w:ascii="仿宋" w:hAnsi="仿宋" w:eastAsia="仿宋" w:cs="仿宋"/>
          <w:b w:val="0"/>
          <w:bCs/>
          <w:sz w:val="32"/>
          <w:szCs w:val="32"/>
        </w:rPr>
        <w:t>PPP存量项目发展过程简要回顾</w:t>
      </w:r>
    </w:p>
    <w:p w14:paraId="7FA1A073">
      <w:pPr>
        <w:keepNext w:val="0"/>
        <w:keepLines w:val="0"/>
        <w:pageBreakBefore w:val="0"/>
        <w:widowControl/>
        <w:shd w:val="clear" w:color="auto" w:fill="FFFFFF"/>
        <w:kinsoku/>
        <w:wordWrap/>
        <w:overflowPunct/>
        <w:topLinePunct w:val="0"/>
        <w:bidi w:val="0"/>
        <w:adjustRightInd/>
        <w:snapToGrid/>
        <w:spacing w:line="600" w:lineRule="exact"/>
        <w:ind w:right="12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（二）</w:t>
      </w:r>
      <w:r>
        <w:rPr>
          <w:rFonts w:hint="eastAsia" w:ascii="仿宋" w:hAnsi="仿宋" w:eastAsia="仿宋" w:cs="仿宋"/>
          <w:b w:val="0"/>
          <w:bCs/>
          <w:sz w:val="32"/>
          <w:szCs w:val="32"/>
        </w:rPr>
        <w:t>PPP存量项目执行阶段存在的主要问题及解决办法</w:t>
      </w:r>
    </w:p>
    <w:p w14:paraId="32CBBEF8">
      <w:pPr>
        <w:pStyle w:val="15"/>
        <w:keepNext w:val="0"/>
        <w:keepLines w:val="0"/>
        <w:pageBreakBefore w:val="0"/>
        <w:numPr>
          <w:ilvl w:val="0"/>
          <w:numId w:val="5"/>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建设内容变化调整</w:t>
      </w:r>
    </w:p>
    <w:p w14:paraId="4D9A15F7">
      <w:pPr>
        <w:pStyle w:val="15"/>
        <w:keepNext w:val="0"/>
        <w:keepLines w:val="0"/>
        <w:pageBreakBefore w:val="0"/>
        <w:numPr>
          <w:ilvl w:val="0"/>
          <w:numId w:val="5"/>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银行融资不到位</w:t>
      </w:r>
    </w:p>
    <w:p w14:paraId="306DFABF">
      <w:pPr>
        <w:pStyle w:val="15"/>
        <w:keepNext w:val="0"/>
        <w:keepLines w:val="0"/>
        <w:pageBreakBefore w:val="0"/>
        <w:numPr>
          <w:ilvl w:val="0"/>
          <w:numId w:val="5"/>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社会资本垫款：是否计算利息、是否计入总投资</w:t>
      </w:r>
    </w:p>
    <w:p w14:paraId="2D72CC03">
      <w:pPr>
        <w:pStyle w:val="15"/>
        <w:keepNext w:val="0"/>
        <w:keepLines w:val="0"/>
        <w:pageBreakBefore w:val="0"/>
        <w:numPr>
          <w:ilvl w:val="0"/>
          <w:numId w:val="5"/>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超概的处理</w:t>
      </w:r>
    </w:p>
    <w:p w14:paraId="105FF64E">
      <w:pPr>
        <w:pStyle w:val="15"/>
        <w:keepNext w:val="0"/>
        <w:keepLines w:val="0"/>
        <w:pageBreakBefore w:val="0"/>
        <w:numPr>
          <w:ilvl w:val="0"/>
          <w:numId w:val="5"/>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建设期管理费用的计算与支付</w:t>
      </w:r>
    </w:p>
    <w:p w14:paraId="0FAC66C7">
      <w:pPr>
        <w:pStyle w:val="15"/>
        <w:keepNext w:val="0"/>
        <w:keepLines w:val="0"/>
        <w:pageBreakBefore w:val="0"/>
        <w:numPr>
          <w:ilvl w:val="0"/>
          <w:numId w:val="5"/>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竣工验收程序</w:t>
      </w:r>
    </w:p>
    <w:p w14:paraId="788CA6C9">
      <w:pPr>
        <w:pStyle w:val="15"/>
        <w:keepNext w:val="0"/>
        <w:keepLines w:val="0"/>
        <w:pageBreakBefore w:val="0"/>
        <w:numPr>
          <w:ilvl w:val="0"/>
          <w:numId w:val="5"/>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建设成本/投资总额的审核确定</w:t>
      </w:r>
    </w:p>
    <w:p w14:paraId="78DE435D">
      <w:pPr>
        <w:pStyle w:val="15"/>
        <w:keepNext w:val="0"/>
        <w:keepLines w:val="0"/>
        <w:pageBreakBefore w:val="0"/>
        <w:numPr>
          <w:ilvl w:val="0"/>
          <w:numId w:val="5"/>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尚未验收但实际已进入运营期等</w:t>
      </w:r>
    </w:p>
    <w:p w14:paraId="06D64A96">
      <w:pPr>
        <w:keepNext w:val="0"/>
        <w:keepLines w:val="0"/>
        <w:pageBreakBefore w:val="0"/>
        <w:widowControl/>
        <w:shd w:val="clear" w:color="auto" w:fill="FFFFFF"/>
        <w:kinsoku/>
        <w:wordWrap/>
        <w:overflowPunct/>
        <w:topLinePunct w:val="0"/>
        <w:bidi w:val="0"/>
        <w:adjustRightInd/>
        <w:snapToGrid/>
        <w:spacing w:line="600" w:lineRule="exact"/>
        <w:ind w:right="12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（三）</w:t>
      </w:r>
      <w:r>
        <w:rPr>
          <w:rFonts w:hint="eastAsia" w:ascii="仿宋" w:hAnsi="仿宋" w:eastAsia="仿宋" w:cs="仿宋"/>
          <w:b w:val="0"/>
          <w:bCs/>
          <w:sz w:val="32"/>
          <w:szCs w:val="32"/>
        </w:rPr>
        <w:t>项目案例详解：六个具体案例及其解决的策略、方案与成效</w:t>
      </w:r>
    </w:p>
    <w:p w14:paraId="06A54F6B">
      <w:pPr>
        <w:keepNext w:val="0"/>
        <w:keepLines w:val="0"/>
        <w:pageBreakBefore w:val="0"/>
        <w:widowControl/>
        <w:shd w:val="clear" w:color="auto" w:fill="FFFFFF"/>
        <w:kinsoku/>
        <w:wordWrap/>
        <w:overflowPunct/>
        <w:topLinePunct w:val="0"/>
        <w:bidi w:val="0"/>
        <w:adjustRightInd/>
        <w:snapToGrid/>
        <w:spacing w:line="600" w:lineRule="exact"/>
        <w:ind w:right="12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（四）</w:t>
      </w:r>
      <w:r>
        <w:rPr>
          <w:rFonts w:hint="eastAsia" w:ascii="仿宋" w:hAnsi="仿宋" w:eastAsia="仿宋" w:cs="仿宋"/>
          <w:b w:val="0"/>
          <w:bCs/>
          <w:sz w:val="32"/>
          <w:szCs w:val="32"/>
        </w:rPr>
        <w:t>问题本源解析与建议</w:t>
      </w:r>
    </w:p>
    <w:p w14:paraId="4443F562">
      <w:pPr>
        <w:keepNext w:val="0"/>
        <w:keepLines w:val="0"/>
        <w:pageBreakBefore w:val="0"/>
        <w:widowControl/>
        <w:shd w:val="clear" w:color="auto" w:fill="FFFFFF"/>
        <w:kinsoku/>
        <w:wordWrap/>
        <w:overflowPunct/>
        <w:topLinePunct w:val="0"/>
        <w:bidi w:val="0"/>
        <w:adjustRightInd/>
        <w:snapToGrid/>
        <w:spacing w:line="600" w:lineRule="exact"/>
        <w:ind w:right="12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（五）</w:t>
      </w:r>
      <w:r>
        <w:rPr>
          <w:rFonts w:hint="eastAsia" w:ascii="仿宋" w:hAnsi="仿宋" w:eastAsia="仿宋" w:cs="仿宋"/>
          <w:b w:val="0"/>
          <w:bCs/>
          <w:sz w:val="32"/>
          <w:szCs w:val="32"/>
        </w:rPr>
        <w:t>社会资本（项目公司）在当前情况下的规范应对与建议</w:t>
      </w:r>
    </w:p>
    <w:p w14:paraId="40E5C626">
      <w:pPr>
        <w:keepNext w:val="0"/>
        <w:keepLines w:val="0"/>
        <w:pageBreakBefore w:val="0"/>
        <w:widowControl/>
        <w:shd w:val="clear" w:color="auto" w:fill="FFFFFF"/>
        <w:kinsoku/>
        <w:wordWrap/>
        <w:overflowPunct/>
        <w:topLinePunct w:val="0"/>
        <w:bidi w:val="0"/>
        <w:adjustRightInd/>
        <w:snapToGrid/>
        <w:spacing w:line="600" w:lineRule="exact"/>
        <w:ind w:right="120"/>
        <w:jc w:val="both"/>
        <w:textAlignment w:val="auto"/>
        <w:rPr>
          <w:rFonts w:hint="eastAsia" w:ascii="仿宋" w:hAnsi="仿宋" w:eastAsia="仿宋" w:cs="仿宋"/>
          <w:b/>
          <w:sz w:val="32"/>
          <w:szCs w:val="32"/>
          <w:lang w:val="en-US" w:eastAsia="zh-CN"/>
        </w:rPr>
      </w:pPr>
      <w:r>
        <w:rPr>
          <w:rFonts w:hint="eastAsia" w:ascii="楷体" w:hAnsi="楷体" w:eastAsia="楷体" w:cs="楷体"/>
          <w:b/>
          <w:sz w:val="32"/>
          <w:szCs w:val="32"/>
        </w:rPr>
        <w:t>模块</w:t>
      </w:r>
      <w:r>
        <w:rPr>
          <w:rFonts w:hint="eastAsia" w:ascii="楷体" w:hAnsi="楷体" w:eastAsia="楷体" w:cs="楷体"/>
          <w:b/>
          <w:sz w:val="32"/>
          <w:szCs w:val="32"/>
          <w:lang w:val="en-US" w:eastAsia="zh-CN"/>
        </w:rPr>
        <w:t>三</w:t>
      </w:r>
      <w:r>
        <w:rPr>
          <w:rFonts w:hint="eastAsia" w:ascii="楷体" w:hAnsi="楷体" w:eastAsia="楷体" w:cs="楷体"/>
          <w:b/>
          <w:sz w:val="32"/>
          <w:szCs w:val="32"/>
        </w:rPr>
        <w:t>、</w:t>
      </w:r>
      <w:r>
        <w:rPr>
          <w:rFonts w:hint="eastAsia" w:ascii="楷体" w:hAnsi="楷体" w:eastAsia="楷体" w:cs="楷体"/>
          <w:b/>
          <w:sz w:val="32"/>
          <w:szCs w:val="32"/>
          <w:lang w:val="en-US" w:eastAsia="zh-CN"/>
        </w:rPr>
        <w:t>三类资金审计和风险防控</w:t>
      </w:r>
    </w:p>
    <w:p w14:paraId="025143F8">
      <w:pPr>
        <w:keepNext w:val="0"/>
        <w:keepLines w:val="0"/>
        <w:pageBreakBefore w:val="0"/>
        <w:numPr>
          <w:ilvl w:val="0"/>
          <w:numId w:val="0"/>
        </w:numPr>
        <w:kinsoku/>
        <w:wordWrap/>
        <w:overflowPunct/>
        <w:topLinePunct w:val="0"/>
        <w:bidi w:val="0"/>
        <w:adjustRightInd/>
        <w:snapToGrid/>
        <w:spacing w:line="600" w:lineRule="exact"/>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（一）</w:t>
      </w:r>
      <w:r>
        <w:rPr>
          <w:rFonts w:hint="eastAsia" w:ascii="仿宋" w:hAnsi="仿宋" w:eastAsia="仿宋" w:cs="仿宋"/>
          <w:b w:val="0"/>
          <w:bCs/>
          <w:sz w:val="32"/>
          <w:szCs w:val="32"/>
        </w:rPr>
        <w:t>概述与政策环境</w:t>
      </w:r>
    </w:p>
    <w:p w14:paraId="2E728C50">
      <w:pPr>
        <w:keepNext w:val="0"/>
        <w:keepLines w:val="0"/>
        <w:pageBreakBefore w:val="0"/>
        <w:numPr>
          <w:ilvl w:val="0"/>
          <w:numId w:val="6"/>
        </w:numPr>
        <w:kinsoku/>
        <w:wordWrap/>
        <w:overflowPunct/>
        <w:topLinePunct w:val="0"/>
        <w:autoSpaceDE/>
        <w:autoSpaceDN/>
        <w:bidi w:val="0"/>
        <w:adjustRightInd/>
        <w:snapToGrid/>
        <w:spacing w:line="600" w:lineRule="exact"/>
        <w:ind w:left="440" w:leftChars="0" w:hanging="440"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专项债：投向特定领域、项目收益自平衡、负面清单管理（国办发〔2024〕52号）</w:t>
      </w:r>
    </w:p>
    <w:p w14:paraId="7B7DA0C3">
      <w:pPr>
        <w:keepNext w:val="0"/>
        <w:keepLines w:val="0"/>
        <w:pageBreakBefore w:val="0"/>
        <w:numPr>
          <w:ilvl w:val="0"/>
          <w:numId w:val="6"/>
        </w:numPr>
        <w:kinsoku/>
        <w:wordWrap/>
        <w:overflowPunct/>
        <w:topLinePunct w:val="0"/>
        <w:autoSpaceDE/>
        <w:autoSpaceDN/>
        <w:bidi w:val="0"/>
        <w:adjustRightInd/>
        <w:snapToGrid/>
        <w:spacing w:line="600" w:lineRule="exact"/>
        <w:ind w:left="440" w:leftChars="0" w:hanging="440"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超长期国债：国家战略项目融资、期限匹配与偿付机制</w:t>
      </w:r>
    </w:p>
    <w:p w14:paraId="1D8D4AE2">
      <w:pPr>
        <w:keepNext w:val="0"/>
        <w:keepLines w:val="0"/>
        <w:pageBreakBefore w:val="0"/>
        <w:numPr>
          <w:ilvl w:val="0"/>
          <w:numId w:val="6"/>
        </w:numPr>
        <w:kinsoku/>
        <w:wordWrap/>
        <w:overflowPunct/>
        <w:topLinePunct w:val="0"/>
        <w:autoSpaceDE/>
        <w:autoSpaceDN/>
        <w:bidi w:val="0"/>
        <w:adjustRightInd/>
        <w:snapToGrid/>
        <w:spacing w:line="600" w:lineRule="exact"/>
        <w:ind w:left="440" w:leftChars="0" w:hanging="440"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中央预算内资金：财政直接支持、重点领域定向投入</w:t>
      </w:r>
    </w:p>
    <w:p w14:paraId="59741D13">
      <w:pPr>
        <w:keepNext w:val="0"/>
        <w:keepLines w:val="0"/>
        <w:pageBreakBefore w:val="0"/>
        <w:numPr>
          <w:ilvl w:val="0"/>
          <w:numId w:val="6"/>
        </w:numPr>
        <w:kinsoku/>
        <w:wordWrap/>
        <w:overflowPunct/>
        <w:topLinePunct w:val="0"/>
        <w:autoSpaceDE/>
        <w:autoSpaceDN/>
        <w:bidi w:val="0"/>
        <w:adjustRightInd/>
        <w:snapToGrid/>
        <w:spacing w:line="600" w:lineRule="exact"/>
        <w:ind w:left="440" w:leftChars="0" w:hanging="440" w:firstLineChars="0"/>
        <w:jc w:val="both"/>
        <w:textAlignment w:val="auto"/>
        <w:rPr>
          <w:rFonts w:hint="eastAsia" w:ascii="仿宋" w:hAnsi="仿宋" w:eastAsia="仿宋" w:cs="仿宋"/>
          <w:b/>
          <w:sz w:val="32"/>
          <w:szCs w:val="32"/>
          <w:lang w:val="en-US" w:eastAsia="zh-CN"/>
        </w:rPr>
      </w:pPr>
      <w:r>
        <w:rPr>
          <w:rFonts w:hint="eastAsia" w:ascii="仿宋" w:hAnsi="仿宋" w:eastAsia="仿宋" w:cs="仿宋"/>
          <w:kern w:val="2"/>
          <w:sz w:val="32"/>
          <w:szCs w:val="32"/>
          <w:lang w:val="en-US" w:bidi="ar-SA"/>
          <w14:ligatures w14:val="standardContextual"/>
        </w:rPr>
        <w:t>当前监管情况与趋势</w:t>
      </w:r>
    </w:p>
    <w:p w14:paraId="70D7C19B">
      <w:pPr>
        <w:keepNext w:val="0"/>
        <w:keepLines w:val="0"/>
        <w:pageBreakBefore w:val="0"/>
        <w:widowControl/>
        <w:shd w:val="clear" w:color="auto" w:fill="FFFFFF"/>
        <w:kinsoku/>
        <w:wordWrap/>
        <w:overflowPunct/>
        <w:topLinePunct w:val="0"/>
        <w:bidi w:val="0"/>
        <w:adjustRightInd/>
        <w:snapToGrid/>
        <w:spacing w:line="600" w:lineRule="exact"/>
        <w:ind w:right="12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（二）</w:t>
      </w:r>
      <w:r>
        <w:rPr>
          <w:rFonts w:hint="eastAsia" w:ascii="仿宋" w:hAnsi="仿宋" w:eastAsia="仿宋" w:cs="仿宋"/>
          <w:b w:val="0"/>
          <w:bCs/>
          <w:sz w:val="32"/>
          <w:szCs w:val="32"/>
        </w:rPr>
        <w:t>专项债审计风险与案例解析</w:t>
      </w:r>
    </w:p>
    <w:p w14:paraId="5C2270D5">
      <w:pPr>
        <w:keepNext w:val="0"/>
        <w:keepLines w:val="0"/>
        <w:pageBreakBefore w:val="0"/>
        <w:numPr>
          <w:ilvl w:val="0"/>
          <w:numId w:val="7"/>
        </w:numPr>
        <w:kinsoku/>
        <w:wordWrap/>
        <w:overflowPunct/>
        <w:topLinePunct w:val="0"/>
        <w:autoSpaceDE/>
        <w:autoSpaceDN/>
        <w:bidi w:val="0"/>
        <w:adjustRightInd/>
        <w:snapToGrid/>
        <w:spacing w:line="600" w:lineRule="exact"/>
        <w:ind w:left="440" w:leftChars="0" w:hanging="440"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合规申报程序简析</w:t>
      </w:r>
    </w:p>
    <w:p w14:paraId="202B5304">
      <w:pPr>
        <w:keepNext w:val="0"/>
        <w:keepLines w:val="0"/>
        <w:pageBreakBefore w:val="0"/>
        <w:numPr>
          <w:ilvl w:val="0"/>
          <w:numId w:val="7"/>
        </w:numPr>
        <w:kinsoku/>
        <w:wordWrap/>
        <w:overflowPunct/>
        <w:topLinePunct w:val="0"/>
        <w:autoSpaceDE/>
        <w:autoSpaceDN/>
        <w:bidi w:val="0"/>
        <w:adjustRightInd/>
        <w:snapToGrid/>
        <w:spacing w:line="600" w:lineRule="exact"/>
        <w:ind w:left="440" w:leftChars="0" w:hanging="440"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项目申报阶段风险（案例，重点）</w:t>
      </w:r>
    </w:p>
    <w:p w14:paraId="40C0E6E2">
      <w:pPr>
        <w:keepNext w:val="0"/>
        <w:keepLines w:val="0"/>
        <w:pageBreakBefore w:val="0"/>
        <w:numPr>
          <w:ilvl w:val="0"/>
          <w:numId w:val="7"/>
        </w:numPr>
        <w:kinsoku/>
        <w:wordWrap/>
        <w:overflowPunct/>
        <w:topLinePunct w:val="0"/>
        <w:autoSpaceDE/>
        <w:autoSpaceDN/>
        <w:bidi w:val="0"/>
        <w:adjustRightInd/>
        <w:snapToGrid/>
        <w:spacing w:line="600" w:lineRule="exact"/>
        <w:ind w:left="440" w:leftChars="0" w:hanging="440"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资金使用阶段风险（案例，重点）</w:t>
      </w:r>
    </w:p>
    <w:p w14:paraId="51C13DAD">
      <w:pPr>
        <w:keepNext w:val="0"/>
        <w:keepLines w:val="0"/>
        <w:pageBreakBefore w:val="0"/>
        <w:numPr>
          <w:ilvl w:val="0"/>
          <w:numId w:val="7"/>
        </w:numPr>
        <w:kinsoku/>
        <w:wordWrap/>
        <w:overflowPunct/>
        <w:topLinePunct w:val="0"/>
        <w:autoSpaceDE/>
        <w:autoSpaceDN/>
        <w:bidi w:val="0"/>
        <w:adjustRightInd/>
        <w:snapToGrid/>
        <w:spacing w:line="600" w:lineRule="exact"/>
        <w:ind w:left="440" w:leftChars="0" w:hanging="440"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偿还阶段风险</w:t>
      </w:r>
    </w:p>
    <w:p w14:paraId="555BD5A5">
      <w:pPr>
        <w:keepNext w:val="0"/>
        <w:keepLines w:val="0"/>
        <w:pageBreakBefore w:val="0"/>
        <w:numPr>
          <w:ilvl w:val="0"/>
          <w:numId w:val="7"/>
        </w:numPr>
        <w:kinsoku/>
        <w:wordWrap/>
        <w:overflowPunct/>
        <w:topLinePunct w:val="0"/>
        <w:autoSpaceDE/>
        <w:autoSpaceDN/>
        <w:bidi w:val="0"/>
        <w:adjustRightInd/>
        <w:snapToGrid/>
        <w:spacing w:line="600" w:lineRule="exact"/>
        <w:ind w:left="440" w:leftChars="0" w:hanging="440"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审计关注点（案例，重点提示）</w:t>
      </w:r>
    </w:p>
    <w:p w14:paraId="5FF7D0EA">
      <w:pPr>
        <w:keepNext w:val="0"/>
        <w:keepLines w:val="0"/>
        <w:pageBreakBefore w:val="0"/>
        <w:widowControl/>
        <w:shd w:val="clear" w:color="auto" w:fill="FFFFFF"/>
        <w:kinsoku/>
        <w:wordWrap/>
        <w:overflowPunct/>
        <w:topLinePunct w:val="0"/>
        <w:bidi w:val="0"/>
        <w:adjustRightInd/>
        <w:snapToGrid/>
        <w:spacing w:line="600" w:lineRule="exact"/>
        <w:ind w:right="12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（三）</w:t>
      </w:r>
      <w:r>
        <w:rPr>
          <w:rFonts w:hint="eastAsia" w:ascii="仿宋" w:hAnsi="仿宋" w:eastAsia="仿宋" w:cs="仿宋"/>
          <w:b w:val="0"/>
          <w:bCs/>
          <w:sz w:val="32"/>
          <w:szCs w:val="32"/>
        </w:rPr>
        <w:t>超长期国债审计风险与应对策略</w:t>
      </w:r>
    </w:p>
    <w:p w14:paraId="411678AD">
      <w:pPr>
        <w:keepNext w:val="0"/>
        <w:keepLines w:val="0"/>
        <w:pageBreakBefore w:val="0"/>
        <w:numPr>
          <w:ilvl w:val="0"/>
          <w:numId w:val="8"/>
        </w:numPr>
        <w:kinsoku/>
        <w:wordWrap/>
        <w:overflowPunct/>
        <w:topLinePunct w:val="0"/>
        <w:autoSpaceDE/>
        <w:autoSpaceDN/>
        <w:bidi w:val="0"/>
        <w:adjustRightInd/>
        <w:snapToGrid/>
        <w:spacing w:line="600" w:lineRule="exact"/>
        <w:ind w:left="440" w:leftChars="0" w:hanging="440"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发行与投向风险（案例）</w:t>
      </w:r>
    </w:p>
    <w:p w14:paraId="38CD13F5">
      <w:pPr>
        <w:keepNext w:val="0"/>
        <w:keepLines w:val="0"/>
        <w:pageBreakBefore w:val="0"/>
        <w:numPr>
          <w:ilvl w:val="0"/>
          <w:numId w:val="8"/>
        </w:numPr>
        <w:kinsoku/>
        <w:wordWrap/>
        <w:overflowPunct/>
        <w:topLinePunct w:val="0"/>
        <w:autoSpaceDE/>
        <w:autoSpaceDN/>
        <w:bidi w:val="0"/>
        <w:adjustRightInd/>
        <w:snapToGrid/>
        <w:spacing w:line="600" w:lineRule="exact"/>
        <w:ind w:left="440" w:leftChars="0" w:hanging="440"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偿付机制风险（案例）</w:t>
      </w:r>
    </w:p>
    <w:p w14:paraId="483DAB7C">
      <w:pPr>
        <w:keepNext w:val="0"/>
        <w:keepLines w:val="0"/>
        <w:pageBreakBefore w:val="0"/>
        <w:numPr>
          <w:ilvl w:val="0"/>
          <w:numId w:val="8"/>
        </w:numPr>
        <w:kinsoku/>
        <w:wordWrap/>
        <w:overflowPunct/>
        <w:topLinePunct w:val="0"/>
        <w:autoSpaceDE/>
        <w:autoSpaceDN/>
        <w:bidi w:val="0"/>
        <w:adjustRightInd/>
        <w:snapToGrid/>
        <w:spacing w:line="600" w:lineRule="exact"/>
        <w:ind w:left="440" w:leftChars="0" w:hanging="440" w:firstLineChars="0"/>
        <w:jc w:val="both"/>
        <w:textAlignment w:val="auto"/>
        <w:rPr>
          <w:rFonts w:hint="eastAsia" w:ascii="仿宋" w:hAnsi="仿宋" w:eastAsia="仿宋" w:cs="仿宋"/>
          <w:b/>
          <w:bCs/>
          <w:sz w:val="32"/>
          <w:szCs w:val="32"/>
        </w:rPr>
      </w:pPr>
      <w:r>
        <w:rPr>
          <w:rFonts w:hint="eastAsia" w:ascii="仿宋" w:hAnsi="仿宋" w:eastAsia="仿宋" w:cs="仿宋"/>
          <w:kern w:val="2"/>
          <w:sz w:val="32"/>
          <w:szCs w:val="32"/>
          <w:lang w:val="en-US" w:bidi="ar-SA"/>
          <w14:ligatures w14:val="standardContextual"/>
        </w:rPr>
        <w:t>审计关注点（案例，重点提示）</w:t>
      </w:r>
    </w:p>
    <w:p w14:paraId="429C41C1">
      <w:pPr>
        <w:keepNext w:val="0"/>
        <w:keepLines w:val="0"/>
        <w:pageBreakBefore w:val="0"/>
        <w:widowControl/>
        <w:shd w:val="clear" w:color="auto" w:fill="FFFFFF"/>
        <w:kinsoku/>
        <w:wordWrap/>
        <w:overflowPunct/>
        <w:topLinePunct w:val="0"/>
        <w:bidi w:val="0"/>
        <w:adjustRightInd/>
        <w:snapToGrid/>
        <w:spacing w:line="600" w:lineRule="exact"/>
        <w:ind w:right="12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（四）</w:t>
      </w:r>
      <w:r>
        <w:rPr>
          <w:rFonts w:hint="eastAsia" w:ascii="仿宋" w:hAnsi="仿宋" w:eastAsia="仿宋" w:cs="仿宋"/>
          <w:b w:val="0"/>
          <w:bCs/>
          <w:sz w:val="32"/>
          <w:szCs w:val="32"/>
        </w:rPr>
        <w:t>中央预算内资金审计风险与实务要点</w:t>
      </w:r>
    </w:p>
    <w:p w14:paraId="7F9353D0">
      <w:pPr>
        <w:keepNext w:val="0"/>
        <w:keepLines w:val="0"/>
        <w:pageBreakBefore w:val="0"/>
        <w:numPr>
          <w:ilvl w:val="0"/>
          <w:numId w:val="9"/>
        </w:numPr>
        <w:kinsoku/>
        <w:wordWrap/>
        <w:overflowPunct/>
        <w:topLinePunct w:val="0"/>
        <w:autoSpaceDE/>
        <w:autoSpaceDN/>
        <w:bidi w:val="0"/>
        <w:adjustRightInd/>
        <w:snapToGrid/>
        <w:spacing w:line="600" w:lineRule="exact"/>
        <w:ind w:left="440" w:leftChars="0" w:hanging="440"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资金分配风险（案例）</w:t>
      </w:r>
    </w:p>
    <w:p w14:paraId="5E418168">
      <w:pPr>
        <w:keepNext w:val="0"/>
        <w:keepLines w:val="0"/>
        <w:pageBreakBefore w:val="0"/>
        <w:numPr>
          <w:ilvl w:val="0"/>
          <w:numId w:val="9"/>
        </w:numPr>
        <w:kinsoku/>
        <w:wordWrap/>
        <w:overflowPunct/>
        <w:topLinePunct w:val="0"/>
        <w:autoSpaceDE/>
        <w:autoSpaceDN/>
        <w:bidi w:val="0"/>
        <w:adjustRightInd/>
        <w:snapToGrid/>
        <w:spacing w:line="600" w:lineRule="exact"/>
        <w:ind w:left="440" w:leftChars="0" w:hanging="440"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资金使用风险（案例，重点）</w:t>
      </w:r>
    </w:p>
    <w:p w14:paraId="1C0252E0">
      <w:pPr>
        <w:keepNext w:val="0"/>
        <w:keepLines w:val="0"/>
        <w:pageBreakBefore w:val="0"/>
        <w:numPr>
          <w:ilvl w:val="0"/>
          <w:numId w:val="9"/>
        </w:numPr>
        <w:kinsoku/>
        <w:wordWrap/>
        <w:overflowPunct/>
        <w:topLinePunct w:val="0"/>
        <w:autoSpaceDE/>
        <w:autoSpaceDN/>
        <w:bidi w:val="0"/>
        <w:adjustRightInd/>
        <w:snapToGrid/>
        <w:spacing w:line="600" w:lineRule="exact"/>
        <w:ind w:left="440" w:leftChars="0" w:hanging="440"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验收与绩效风险（案例，重点）</w:t>
      </w:r>
    </w:p>
    <w:p w14:paraId="727027F7">
      <w:pPr>
        <w:keepNext w:val="0"/>
        <w:keepLines w:val="0"/>
        <w:pageBreakBefore w:val="0"/>
        <w:numPr>
          <w:ilvl w:val="0"/>
          <w:numId w:val="9"/>
        </w:numPr>
        <w:kinsoku/>
        <w:wordWrap/>
        <w:overflowPunct/>
        <w:topLinePunct w:val="0"/>
        <w:autoSpaceDE/>
        <w:autoSpaceDN/>
        <w:bidi w:val="0"/>
        <w:adjustRightInd/>
        <w:snapToGrid/>
        <w:spacing w:line="600" w:lineRule="exact"/>
        <w:ind w:left="440" w:leftChars="0" w:hanging="440" w:firstLineChars="0"/>
        <w:jc w:val="both"/>
        <w:textAlignment w:val="auto"/>
        <w:rPr>
          <w:rFonts w:hint="eastAsia" w:ascii="仿宋" w:hAnsi="仿宋" w:eastAsia="仿宋" w:cs="仿宋"/>
          <w:b/>
          <w:bCs/>
          <w:sz w:val="32"/>
          <w:szCs w:val="32"/>
        </w:rPr>
      </w:pPr>
      <w:r>
        <w:rPr>
          <w:rFonts w:hint="eastAsia" w:ascii="仿宋" w:hAnsi="仿宋" w:eastAsia="仿宋" w:cs="仿宋"/>
          <w:kern w:val="2"/>
          <w:sz w:val="32"/>
          <w:szCs w:val="32"/>
          <w:lang w:val="en-US" w:bidi="ar-SA"/>
          <w14:ligatures w14:val="standardContextual"/>
        </w:rPr>
        <w:t>审计关注点（案例，重点提示）</w:t>
      </w:r>
    </w:p>
    <w:p w14:paraId="56B006CB">
      <w:pPr>
        <w:keepNext w:val="0"/>
        <w:keepLines w:val="0"/>
        <w:pageBreakBefore w:val="0"/>
        <w:widowControl/>
        <w:shd w:val="clear" w:color="auto" w:fill="FFFFFF"/>
        <w:kinsoku/>
        <w:wordWrap/>
        <w:overflowPunct/>
        <w:topLinePunct w:val="0"/>
        <w:bidi w:val="0"/>
        <w:adjustRightInd/>
        <w:snapToGrid/>
        <w:spacing w:line="600" w:lineRule="exact"/>
        <w:ind w:right="12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（五）审计风险防控与合规建议</w:t>
      </w:r>
    </w:p>
    <w:p w14:paraId="300784D0">
      <w:pPr>
        <w:keepNext w:val="0"/>
        <w:keepLines w:val="0"/>
        <w:pageBreakBefore w:val="0"/>
        <w:widowControl/>
        <w:shd w:val="clear" w:color="auto" w:fill="FFFFFF"/>
        <w:kinsoku/>
        <w:wordWrap/>
        <w:overflowPunct/>
        <w:topLinePunct w:val="0"/>
        <w:bidi w:val="0"/>
        <w:adjustRightInd/>
        <w:snapToGrid/>
        <w:spacing w:line="600" w:lineRule="exact"/>
        <w:ind w:right="120"/>
        <w:jc w:val="both"/>
        <w:textAlignment w:val="auto"/>
        <w:rPr>
          <w:rFonts w:hint="eastAsia" w:ascii="楷体" w:hAnsi="楷体" w:eastAsia="楷体" w:cs="楷体"/>
          <w:b/>
          <w:sz w:val="32"/>
          <w:szCs w:val="32"/>
          <w:lang w:val="en-US" w:eastAsia="zh-CN"/>
        </w:rPr>
      </w:pPr>
      <w:r>
        <w:rPr>
          <w:rFonts w:hint="eastAsia" w:ascii="楷体" w:hAnsi="楷体" w:eastAsia="楷体" w:cs="楷体"/>
          <w:b/>
          <w:sz w:val="32"/>
          <w:szCs w:val="32"/>
          <w:lang w:val="en-US" w:eastAsia="zh-CN"/>
        </w:rPr>
        <w:t>模块四、城市更新项目合规运作及投融资落地实务</w:t>
      </w:r>
    </w:p>
    <w:p w14:paraId="2B7EDD01">
      <w:pPr>
        <w:pStyle w:val="15"/>
        <w:keepNext w:val="0"/>
        <w:keepLines w:val="0"/>
        <w:pageBreakBefore w:val="0"/>
        <w:widowControl w:val="0"/>
        <w:numPr>
          <w:ilvl w:val="0"/>
          <w:numId w:val="10"/>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2025年城市更新领域项目的发展展望</w:t>
      </w:r>
    </w:p>
    <w:p w14:paraId="5CAD6FD1">
      <w:pPr>
        <w:pStyle w:val="15"/>
        <w:keepNext w:val="0"/>
        <w:keepLines w:val="0"/>
        <w:pageBreakBefore w:val="0"/>
        <w:widowControl w:val="0"/>
        <w:numPr>
          <w:ilvl w:val="0"/>
          <w:numId w:val="10"/>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城市更新项目分类及操作流程分析</w:t>
      </w:r>
    </w:p>
    <w:p w14:paraId="04A798D8">
      <w:pPr>
        <w:pStyle w:val="15"/>
        <w:keepNext w:val="0"/>
        <w:keepLines w:val="0"/>
        <w:pageBreakBefore w:val="0"/>
        <w:widowControl w:val="0"/>
        <w:numPr>
          <w:ilvl w:val="0"/>
          <w:numId w:val="10"/>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企业参与城市更新项目的操作模式分析</w:t>
      </w:r>
    </w:p>
    <w:p w14:paraId="2C9F49DF">
      <w:pPr>
        <w:pStyle w:val="15"/>
        <w:keepNext w:val="0"/>
        <w:keepLines w:val="0"/>
        <w:pageBreakBefore w:val="0"/>
        <w:widowControl w:val="0"/>
        <w:numPr>
          <w:ilvl w:val="0"/>
          <w:numId w:val="10"/>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城市更新项目的收益构成及主要来源</w:t>
      </w:r>
    </w:p>
    <w:p w14:paraId="75E1BAB6">
      <w:pPr>
        <w:pStyle w:val="15"/>
        <w:keepNext w:val="0"/>
        <w:keepLines w:val="0"/>
        <w:pageBreakBefore w:val="0"/>
        <w:widowControl w:val="0"/>
        <w:numPr>
          <w:ilvl w:val="0"/>
          <w:numId w:val="10"/>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城市更新项目运作的核心及要点（人产城融资）</w:t>
      </w:r>
    </w:p>
    <w:p w14:paraId="6FC4DBFD">
      <w:pPr>
        <w:pStyle w:val="15"/>
        <w:keepNext w:val="0"/>
        <w:keepLines w:val="0"/>
        <w:pageBreakBefore w:val="0"/>
        <w:widowControl w:val="0"/>
        <w:numPr>
          <w:ilvl w:val="0"/>
          <w:numId w:val="10"/>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bookmarkStart w:id="1" w:name="_Hlk137062726"/>
      <w:r>
        <w:rPr>
          <w:rFonts w:hint="eastAsia" w:ascii="仿宋" w:hAnsi="仿宋" w:eastAsia="仿宋" w:cs="仿宋"/>
          <w:kern w:val="2"/>
          <w:sz w:val="32"/>
          <w:szCs w:val="32"/>
          <w:lang w:val="en-US" w:bidi="ar-SA"/>
          <w14:ligatures w14:val="standardContextual"/>
        </w:rPr>
        <w:t>城市更新项目“留改拆”的内涵和几个评判维度</w:t>
      </w:r>
    </w:p>
    <w:p w14:paraId="6E386D1F">
      <w:pPr>
        <w:pStyle w:val="15"/>
        <w:keepNext w:val="0"/>
        <w:keepLines w:val="0"/>
        <w:pageBreakBefore w:val="0"/>
        <w:widowControl w:val="0"/>
        <w:numPr>
          <w:ilvl w:val="0"/>
          <w:numId w:val="10"/>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城市更新项目中地方平台公司的角色及社会资本方的选择</w:t>
      </w:r>
    </w:p>
    <w:bookmarkEnd w:id="1"/>
    <w:p w14:paraId="05BF33FA">
      <w:pPr>
        <w:pStyle w:val="15"/>
        <w:keepNext w:val="0"/>
        <w:keepLines w:val="0"/>
        <w:pageBreakBefore w:val="0"/>
        <w:widowControl w:val="0"/>
        <w:numPr>
          <w:ilvl w:val="0"/>
          <w:numId w:val="10"/>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广州做地“十条”在城市更新项目中的优劣势分析</w:t>
      </w:r>
    </w:p>
    <w:p w14:paraId="1339BF16">
      <w:pPr>
        <w:pStyle w:val="15"/>
        <w:keepNext w:val="0"/>
        <w:keepLines w:val="0"/>
        <w:pageBreakBefore w:val="0"/>
        <w:widowControl w:val="0"/>
        <w:numPr>
          <w:ilvl w:val="0"/>
          <w:numId w:val="10"/>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城市更新项目如何实现自平衡？</w:t>
      </w:r>
    </w:p>
    <w:p w14:paraId="29646A7D">
      <w:pPr>
        <w:pStyle w:val="15"/>
        <w:keepNext w:val="0"/>
        <w:keepLines w:val="0"/>
        <w:pageBreakBefore w:val="0"/>
        <w:widowControl w:val="0"/>
        <w:numPr>
          <w:ilvl w:val="0"/>
          <w:numId w:val="10"/>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平衡不了如何操作</w:t>
      </w:r>
    </w:p>
    <w:p w14:paraId="0C55F96E">
      <w:pPr>
        <w:pStyle w:val="15"/>
        <w:keepNext w:val="0"/>
        <w:keepLines w:val="0"/>
        <w:pageBreakBefore w:val="0"/>
        <w:widowControl w:val="0"/>
        <w:numPr>
          <w:ilvl w:val="0"/>
          <w:numId w:val="10"/>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征拆、一级开发和无收入项目资金解决途径</w:t>
      </w:r>
    </w:p>
    <w:p w14:paraId="594EB764">
      <w:pPr>
        <w:pStyle w:val="15"/>
        <w:keepNext w:val="0"/>
        <w:keepLines w:val="0"/>
        <w:pageBreakBefore w:val="0"/>
        <w:widowControl w:val="0"/>
        <w:numPr>
          <w:ilvl w:val="0"/>
          <w:numId w:val="10"/>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城市更新项目资本金的解决方式</w:t>
      </w:r>
    </w:p>
    <w:p w14:paraId="3BDE6DA4">
      <w:pPr>
        <w:pStyle w:val="15"/>
        <w:keepNext w:val="0"/>
        <w:keepLines w:val="0"/>
        <w:pageBreakBefore w:val="0"/>
        <w:widowControl w:val="0"/>
        <w:numPr>
          <w:ilvl w:val="0"/>
          <w:numId w:val="10"/>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城市更新基金的设立及操作实务</w:t>
      </w:r>
    </w:p>
    <w:p w14:paraId="5F20FF26">
      <w:pPr>
        <w:pStyle w:val="15"/>
        <w:keepNext w:val="0"/>
        <w:keepLines w:val="0"/>
        <w:pageBreakBefore w:val="0"/>
        <w:widowControl w:val="0"/>
        <w:numPr>
          <w:ilvl w:val="0"/>
          <w:numId w:val="10"/>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不能拆不能建的城市更新项目如何操作</w:t>
      </w:r>
    </w:p>
    <w:p w14:paraId="0FE93517">
      <w:pPr>
        <w:pStyle w:val="15"/>
        <w:keepNext w:val="0"/>
        <w:keepLines w:val="0"/>
        <w:pageBreakBefore w:val="0"/>
        <w:widowControl w:val="0"/>
        <w:numPr>
          <w:ilvl w:val="0"/>
          <w:numId w:val="10"/>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城市更新片区级项目的策划要点（均一性）</w:t>
      </w:r>
    </w:p>
    <w:p w14:paraId="5F68B1D2">
      <w:pPr>
        <w:pStyle w:val="15"/>
        <w:keepNext w:val="0"/>
        <w:keepLines w:val="0"/>
        <w:pageBreakBefore w:val="0"/>
        <w:widowControl w:val="0"/>
        <w:numPr>
          <w:ilvl w:val="0"/>
          <w:numId w:val="10"/>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bookmarkStart w:id="2" w:name="OLE_LINK1"/>
      <w:r>
        <w:rPr>
          <w:rFonts w:hint="eastAsia" w:ascii="仿宋" w:hAnsi="仿宋" w:eastAsia="仿宋" w:cs="仿宋"/>
          <w:kern w:val="2"/>
          <w:sz w:val="32"/>
          <w:szCs w:val="32"/>
          <w:lang w:val="en-US" w:bidi="ar-SA"/>
          <w14:ligatures w14:val="standardContextual"/>
        </w:rPr>
        <w:t>老旧街</w:t>
      </w:r>
      <w:r>
        <w:rPr>
          <w:rFonts w:hint="eastAsia" w:ascii="仿宋" w:hAnsi="仿宋" w:eastAsia="仿宋" w:cs="仿宋"/>
          <w:kern w:val="2"/>
          <w:sz w:val="32"/>
          <w:szCs w:val="32"/>
          <w:lang w:val="en-US" w:eastAsia="zh-CN" w:bidi="ar-SA"/>
          <w14:ligatures w14:val="standardContextual"/>
        </w:rPr>
        <w:t>/</w:t>
      </w:r>
      <w:r>
        <w:rPr>
          <w:rFonts w:hint="eastAsia" w:ascii="仿宋" w:hAnsi="仿宋" w:eastAsia="仿宋" w:cs="仿宋"/>
          <w:kern w:val="2"/>
          <w:sz w:val="32"/>
          <w:szCs w:val="32"/>
          <w:lang w:val="en-US" w:bidi="ar-SA"/>
          <w14:ligatures w14:val="standardContextual"/>
        </w:rPr>
        <w:t>厂区改造项目的运作实务</w:t>
      </w:r>
    </w:p>
    <w:p w14:paraId="45023B18">
      <w:pPr>
        <w:pStyle w:val="15"/>
        <w:keepNext w:val="0"/>
        <w:keepLines w:val="0"/>
        <w:pageBreakBefore w:val="0"/>
        <w:widowControl w:val="0"/>
        <w:numPr>
          <w:ilvl w:val="0"/>
          <w:numId w:val="10"/>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完善城市功能及加强城市基建项目的运作实务与案例解析</w:t>
      </w:r>
    </w:p>
    <w:p w14:paraId="2AA7D915">
      <w:pPr>
        <w:pStyle w:val="15"/>
        <w:keepNext w:val="0"/>
        <w:keepLines w:val="0"/>
        <w:pageBreakBefore w:val="0"/>
        <w:widowControl w:val="0"/>
        <w:numPr>
          <w:ilvl w:val="0"/>
          <w:numId w:val="10"/>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修复城市生态系统及保护传承城市历史文化项目的运作实务与案例解析</w:t>
      </w:r>
    </w:p>
    <w:bookmarkEnd w:id="2"/>
    <w:p w14:paraId="17E33C56">
      <w:pPr>
        <w:pStyle w:val="15"/>
        <w:keepNext w:val="0"/>
        <w:keepLines w:val="0"/>
        <w:pageBreakBefore w:val="0"/>
        <w:widowControl w:val="0"/>
        <w:numPr>
          <w:ilvl w:val="0"/>
          <w:numId w:val="10"/>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地方政府如何筹划城市更新</w:t>
      </w:r>
    </w:p>
    <w:p w14:paraId="038E79F3">
      <w:pPr>
        <w:pStyle w:val="15"/>
        <w:keepNext w:val="0"/>
        <w:keepLines w:val="0"/>
        <w:pageBreakBefore w:val="0"/>
        <w:widowControl w:val="0"/>
        <w:numPr>
          <w:ilvl w:val="0"/>
          <w:numId w:val="10"/>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金融机构如何开展城市更新融资（购置提升贷、并购贷款、分段融资还是一二级联动融资）</w:t>
      </w:r>
    </w:p>
    <w:p w14:paraId="0BE9166E">
      <w:pPr>
        <w:pStyle w:val="15"/>
        <w:keepNext w:val="0"/>
        <w:keepLines w:val="0"/>
        <w:pageBreakBefore w:val="0"/>
        <w:widowControl w:val="0"/>
        <w:numPr>
          <w:ilvl w:val="0"/>
          <w:numId w:val="10"/>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建筑企业如何获取城市更新工程</w:t>
      </w:r>
    </w:p>
    <w:p w14:paraId="080E2174">
      <w:pPr>
        <w:pStyle w:val="8"/>
        <w:keepNext w:val="0"/>
        <w:keepLines w:val="0"/>
        <w:pageBreakBefore w:val="0"/>
        <w:shd w:val="clear" w:color="auto" w:fill="FFFFFF"/>
        <w:kinsoku/>
        <w:wordWrap/>
        <w:overflowPunct/>
        <w:topLinePunct w:val="0"/>
        <w:bidi w:val="0"/>
        <w:adjustRightInd/>
        <w:snapToGrid/>
        <w:spacing w:before="0" w:beforeAutospacing="0" w:after="0" w:afterAutospacing="0" w:line="600" w:lineRule="exact"/>
        <w:jc w:val="both"/>
        <w:textAlignment w:val="auto"/>
        <w:rPr>
          <w:rFonts w:hint="eastAsia" w:ascii="楷体" w:hAnsi="楷体" w:eastAsia="楷体" w:cs="楷体"/>
          <w:b/>
          <w:sz w:val="32"/>
          <w:szCs w:val="32"/>
          <w:lang w:val="en-US" w:eastAsia="zh-CN"/>
        </w:rPr>
      </w:pPr>
      <w:r>
        <w:rPr>
          <w:rFonts w:hint="eastAsia" w:ascii="楷体" w:hAnsi="楷体" w:eastAsia="楷体" w:cs="楷体"/>
          <w:b/>
          <w:sz w:val="32"/>
          <w:szCs w:val="32"/>
          <w:lang w:val="en-US" w:eastAsia="zh-CN"/>
        </w:rPr>
        <w:t>模块五、城市更新项目可采取的投融资模式及案例解析</w:t>
      </w:r>
    </w:p>
    <w:p w14:paraId="2126080E">
      <w:pPr>
        <w:pStyle w:val="15"/>
        <w:keepNext w:val="0"/>
        <w:keepLines w:val="0"/>
        <w:pageBreakBefore w:val="0"/>
        <w:widowControl w:val="0"/>
        <w:numPr>
          <w:ilvl w:val="0"/>
          <w:numId w:val="11"/>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棚改自平衡</w:t>
      </w:r>
      <w:r>
        <w:rPr>
          <w:rFonts w:hint="eastAsia" w:ascii="仿宋" w:hAnsi="仿宋" w:eastAsia="仿宋" w:cs="仿宋"/>
          <w:kern w:val="2"/>
          <w:sz w:val="32"/>
          <w:szCs w:val="32"/>
          <w:lang w:val="en-US" w:eastAsia="zh-CN" w:bidi="ar-SA"/>
          <w14:ligatures w14:val="standardContextual"/>
        </w:rPr>
        <w:t>、</w:t>
      </w:r>
      <w:r>
        <w:rPr>
          <w:rFonts w:hint="eastAsia" w:ascii="仿宋" w:hAnsi="仿宋" w:eastAsia="仿宋" w:cs="仿宋"/>
          <w:kern w:val="2"/>
          <w:sz w:val="32"/>
          <w:szCs w:val="32"/>
          <w:lang w:val="en-US" w:bidi="ar-SA"/>
          <w14:ligatures w14:val="standardContextual"/>
        </w:rPr>
        <w:t>土地预申请</w:t>
      </w:r>
      <w:r>
        <w:rPr>
          <w:rFonts w:hint="eastAsia" w:ascii="仿宋" w:hAnsi="仿宋" w:eastAsia="仿宋" w:cs="仿宋"/>
          <w:kern w:val="2"/>
          <w:sz w:val="32"/>
          <w:szCs w:val="32"/>
          <w:lang w:val="en-US" w:eastAsia="zh-CN" w:bidi="ar-SA"/>
          <w14:ligatures w14:val="standardContextual"/>
        </w:rPr>
        <w:t>、</w:t>
      </w:r>
      <w:r>
        <w:rPr>
          <w:rFonts w:hint="eastAsia" w:ascii="仿宋" w:hAnsi="仿宋" w:eastAsia="仿宋" w:cs="仿宋"/>
          <w:kern w:val="2"/>
          <w:sz w:val="32"/>
          <w:szCs w:val="32"/>
          <w:lang w:val="en-US" w:bidi="ar-SA"/>
          <w14:ligatures w14:val="standardContextual"/>
        </w:rPr>
        <w:t>二级带一级</w:t>
      </w:r>
      <w:r>
        <w:rPr>
          <w:rFonts w:hint="eastAsia" w:ascii="仿宋" w:hAnsi="仿宋" w:eastAsia="仿宋" w:cs="仿宋"/>
          <w:kern w:val="2"/>
          <w:sz w:val="32"/>
          <w:szCs w:val="32"/>
          <w:lang w:val="en-US" w:eastAsia="zh-CN" w:bidi="ar-SA"/>
          <w14:ligatures w14:val="standardContextual"/>
        </w:rPr>
        <w:t>、</w:t>
      </w:r>
      <w:r>
        <w:rPr>
          <w:rFonts w:hint="eastAsia" w:ascii="仿宋" w:hAnsi="仿宋" w:eastAsia="仿宋" w:cs="仿宋"/>
          <w:kern w:val="2"/>
          <w:sz w:val="32"/>
          <w:szCs w:val="32"/>
          <w:lang w:val="en-US" w:bidi="ar-SA"/>
          <w14:ligatures w14:val="standardContextual"/>
        </w:rPr>
        <w:t>融资地块自平衡</w:t>
      </w:r>
      <w:r>
        <w:rPr>
          <w:rFonts w:hint="eastAsia" w:ascii="仿宋" w:hAnsi="仿宋" w:eastAsia="仿宋" w:cs="仿宋"/>
          <w:kern w:val="2"/>
          <w:sz w:val="32"/>
          <w:szCs w:val="32"/>
          <w:lang w:val="en-US" w:eastAsia="zh-CN" w:bidi="ar-SA"/>
          <w14:ligatures w14:val="standardContextual"/>
        </w:rPr>
        <w:t>、</w:t>
      </w:r>
      <w:r>
        <w:rPr>
          <w:rFonts w:hint="eastAsia" w:ascii="仿宋" w:hAnsi="仿宋" w:eastAsia="仿宋" w:cs="仿宋"/>
          <w:kern w:val="2"/>
          <w:sz w:val="32"/>
          <w:szCs w:val="32"/>
          <w:lang w:val="en-US" w:bidi="ar-SA"/>
          <w14:ligatures w14:val="standardContextual"/>
        </w:rPr>
        <w:t>土地权利归宗</w:t>
      </w:r>
      <w:r>
        <w:rPr>
          <w:rFonts w:hint="eastAsia" w:ascii="仿宋" w:hAnsi="仿宋" w:eastAsia="仿宋" w:cs="仿宋"/>
          <w:kern w:val="2"/>
          <w:sz w:val="32"/>
          <w:szCs w:val="32"/>
          <w:lang w:val="en-US" w:eastAsia="zh-CN" w:bidi="ar-SA"/>
          <w14:ligatures w14:val="standardContextual"/>
        </w:rPr>
        <w:t>、</w:t>
      </w:r>
      <w:r>
        <w:rPr>
          <w:rFonts w:hint="eastAsia" w:ascii="仿宋" w:hAnsi="仿宋" w:eastAsia="仿宋" w:cs="仿宋"/>
          <w:kern w:val="2"/>
          <w:sz w:val="32"/>
          <w:szCs w:val="32"/>
          <w:lang w:val="en-US" w:bidi="ar-SA"/>
          <w14:ligatures w14:val="standardContextual"/>
        </w:rPr>
        <w:t>权利人自主改造</w:t>
      </w:r>
      <w:r>
        <w:rPr>
          <w:rFonts w:hint="eastAsia" w:ascii="仿宋" w:hAnsi="仿宋" w:eastAsia="仿宋" w:cs="仿宋"/>
          <w:kern w:val="2"/>
          <w:sz w:val="32"/>
          <w:szCs w:val="32"/>
          <w:lang w:val="en-US" w:eastAsia="zh-CN" w:bidi="ar-SA"/>
          <w14:ligatures w14:val="standardContextual"/>
        </w:rPr>
        <w:t>、</w:t>
      </w:r>
      <w:r>
        <w:rPr>
          <w:rFonts w:hint="eastAsia" w:ascii="仿宋" w:hAnsi="仿宋" w:eastAsia="仿宋" w:cs="仿宋"/>
          <w:kern w:val="2"/>
          <w:sz w:val="32"/>
          <w:szCs w:val="32"/>
          <w:lang w:val="en-US" w:bidi="ar-SA"/>
          <w14:ligatures w14:val="standardContextual"/>
        </w:rPr>
        <w:t>土地权利人与第三方企业合作模式</w:t>
      </w:r>
    </w:p>
    <w:p w14:paraId="172C3836">
      <w:pPr>
        <w:pStyle w:val="15"/>
        <w:keepNext w:val="0"/>
        <w:keepLines w:val="0"/>
        <w:pageBreakBefore w:val="0"/>
        <w:widowControl w:val="0"/>
        <w:numPr>
          <w:ilvl w:val="0"/>
          <w:numId w:val="11"/>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存量用地房屋转型升级</w:t>
      </w:r>
    </w:p>
    <w:p w14:paraId="1675384D">
      <w:pPr>
        <w:pStyle w:val="15"/>
        <w:keepNext w:val="0"/>
        <w:keepLines w:val="0"/>
        <w:pageBreakBefore w:val="0"/>
        <w:widowControl w:val="0"/>
        <w:numPr>
          <w:ilvl w:val="0"/>
          <w:numId w:val="11"/>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轻重资产并购更新模式</w:t>
      </w:r>
    </w:p>
    <w:p w14:paraId="0174E1C8">
      <w:pPr>
        <w:pStyle w:val="15"/>
        <w:keepNext w:val="0"/>
        <w:keepLines w:val="0"/>
        <w:pageBreakBefore w:val="0"/>
        <w:widowControl w:val="0"/>
        <w:numPr>
          <w:ilvl w:val="0"/>
          <w:numId w:val="11"/>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城市更新项目融资的特征（改造提升及一二级如何联动）</w:t>
      </w:r>
    </w:p>
    <w:p w14:paraId="7C065473">
      <w:pPr>
        <w:pStyle w:val="15"/>
        <w:keepNext w:val="0"/>
        <w:keepLines w:val="0"/>
        <w:pageBreakBefore w:val="0"/>
        <w:widowControl w:val="0"/>
        <w:numPr>
          <w:ilvl w:val="0"/>
          <w:numId w:val="11"/>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专项债融资的两种模式解析</w:t>
      </w:r>
    </w:p>
    <w:p w14:paraId="19E2B2B9">
      <w:pPr>
        <w:pStyle w:val="15"/>
        <w:keepNext w:val="0"/>
        <w:keepLines w:val="0"/>
        <w:pageBreakBefore w:val="0"/>
        <w:widowControl w:val="0"/>
        <w:numPr>
          <w:ilvl w:val="0"/>
          <w:numId w:val="11"/>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银行在城市更新项目的审批要点</w:t>
      </w:r>
    </w:p>
    <w:p w14:paraId="28EF1449">
      <w:pPr>
        <w:pStyle w:val="15"/>
        <w:keepNext w:val="0"/>
        <w:keepLines w:val="0"/>
        <w:pageBreakBefore w:val="0"/>
        <w:widowControl w:val="0"/>
        <w:numPr>
          <w:ilvl w:val="0"/>
          <w:numId w:val="11"/>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城市更新项目各阶段商业化的融资方案设计</w:t>
      </w:r>
    </w:p>
    <w:p w14:paraId="76EA0D62">
      <w:pPr>
        <w:pStyle w:val="15"/>
        <w:keepNext w:val="0"/>
        <w:keepLines w:val="0"/>
        <w:pageBreakBefore w:val="0"/>
        <w:widowControl w:val="0"/>
        <w:numPr>
          <w:ilvl w:val="0"/>
          <w:numId w:val="11"/>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资金的接续、滚动开发与峰值的设定</w:t>
      </w:r>
    </w:p>
    <w:p w14:paraId="69445E9A">
      <w:pPr>
        <w:pStyle w:val="15"/>
        <w:keepNext w:val="0"/>
        <w:keepLines w:val="0"/>
        <w:pageBreakBefore w:val="0"/>
        <w:widowControl w:val="0"/>
        <w:numPr>
          <w:ilvl w:val="0"/>
          <w:numId w:val="11"/>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存量资产的盘活</w:t>
      </w:r>
    </w:p>
    <w:p w14:paraId="723AB06A">
      <w:pPr>
        <w:pStyle w:val="8"/>
        <w:keepNext w:val="0"/>
        <w:keepLines w:val="0"/>
        <w:pageBreakBefore w:val="0"/>
        <w:shd w:val="clear" w:color="auto" w:fill="FFFFFF"/>
        <w:kinsoku/>
        <w:wordWrap/>
        <w:overflowPunct/>
        <w:topLinePunct w:val="0"/>
        <w:bidi w:val="0"/>
        <w:adjustRightInd/>
        <w:snapToGrid/>
        <w:spacing w:before="0" w:beforeAutospacing="0" w:after="0" w:afterAutospacing="0" w:line="600" w:lineRule="exact"/>
        <w:jc w:val="both"/>
        <w:textAlignment w:val="auto"/>
        <w:rPr>
          <w:rFonts w:hint="eastAsia" w:ascii="仿宋" w:hAnsi="仿宋" w:eastAsia="仿宋" w:cs="仿宋"/>
          <w:b/>
          <w:sz w:val="32"/>
          <w:szCs w:val="32"/>
        </w:rPr>
      </w:pPr>
      <w:r>
        <w:rPr>
          <w:rFonts w:hint="eastAsia" w:ascii="楷体" w:hAnsi="楷体" w:eastAsia="楷体" w:cs="楷体"/>
          <w:b/>
          <w:sz w:val="32"/>
          <w:szCs w:val="32"/>
          <w:lang w:val="en-US" w:eastAsia="zh-CN"/>
        </w:rPr>
        <w:t>模块六、</w:t>
      </w:r>
      <w:r>
        <w:rPr>
          <w:rFonts w:hint="eastAsia" w:ascii="楷体" w:hAnsi="楷体" w:eastAsia="楷体" w:cs="楷体"/>
          <w:b/>
          <w:sz w:val="32"/>
          <w:szCs w:val="32"/>
        </w:rPr>
        <w:t>城中村改造项目操作实务与投融资落地实操</w:t>
      </w:r>
    </w:p>
    <w:p w14:paraId="738107FD">
      <w:pPr>
        <w:pStyle w:val="8"/>
        <w:keepNext w:val="0"/>
        <w:keepLines w:val="0"/>
        <w:pageBreakBefore w:val="0"/>
        <w:shd w:val="clear" w:color="auto" w:fill="FFFFFF"/>
        <w:kinsoku/>
        <w:wordWrap/>
        <w:overflowPunct/>
        <w:topLinePunct w:val="0"/>
        <w:bidi w:val="0"/>
        <w:adjustRightInd/>
        <w:snapToGrid/>
        <w:spacing w:before="0" w:beforeAutospacing="0" w:after="0" w:afterAutospacing="0" w:line="600" w:lineRule="exact"/>
        <w:jc w:val="both"/>
        <w:textAlignment w:val="auto"/>
        <w:rPr>
          <w:rFonts w:hint="eastAsia" w:ascii="仿宋" w:hAnsi="仿宋" w:eastAsia="仿宋" w:cs="仿宋"/>
          <w:b w:val="0"/>
          <w:bCs/>
          <w:sz w:val="32"/>
          <w:szCs w:val="32"/>
        </w:rPr>
      </w:pPr>
      <w:bookmarkStart w:id="3" w:name="_Hlk144711450"/>
      <w:r>
        <w:rPr>
          <w:rFonts w:hint="eastAsia" w:ascii="仿宋" w:hAnsi="仿宋" w:eastAsia="仿宋" w:cs="仿宋"/>
          <w:b w:val="0"/>
          <w:bCs/>
          <w:sz w:val="32"/>
          <w:szCs w:val="32"/>
        </w:rPr>
        <w:t>（一）城中村改造</w:t>
      </w:r>
      <w:bookmarkEnd w:id="3"/>
      <w:r>
        <w:rPr>
          <w:rFonts w:hint="eastAsia" w:ascii="仿宋" w:hAnsi="仿宋" w:eastAsia="仿宋" w:cs="仿宋"/>
          <w:b w:val="0"/>
          <w:bCs/>
          <w:sz w:val="32"/>
          <w:szCs w:val="32"/>
        </w:rPr>
        <w:t>政策要点</w:t>
      </w:r>
    </w:p>
    <w:p w14:paraId="49DF780E">
      <w:pPr>
        <w:pStyle w:val="15"/>
        <w:keepNext w:val="0"/>
        <w:keepLines w:val="0"/>
        <w:pageBreakBefore w:val="0"/>
        <w:widowControl w:val="0"/>
        <w:numPr>
          <w:ilvl w:val="0"/>
          <w:numId w:val="12"/>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城中村改造与棚改的区别</w:t>
      </w:r>
    </w:p>
    <w:p w14:paraId="6053D937">
      <w:pPr>
        <w:pStyle w:val="15"/>
        <w:keepNext w:val="0"/>
        <w:keepLines w:val="0"/>
        <w:pageBreakBefore w:val="0"/>
        <w:widowControl w:val="0"/>
        <w:numPr>
          <w:ilvl w:val="0"/>
          <w:numId w:val="12"/>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城中村改造与房地产及房地产新模式构建的关系</w:t>
      </w:r>
    </w:p>
    <w:p w14:paraId="381C75B6">
      <w:pPr>
        <w:pStyle w:val="15"/>
        <w:keepNext w:val="0"/>
        <w:keepLines w:val="0"/>
        <w:pageBreakBefore w:val="0"/>
        <w:widowControl w:val="0"/>
        <w:numPr>
          <w:ilvl w:val="0"/>
          <w:numId w:val="12"/>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什么是低效用地再开发，171号文有哪些支持政策</w:t>
      </w:r>
    </w:p>
    <w:p w14:paraId="15CA18AF">
      <w:pPr>
        <w:pStyle w:val="15"/>
        <w:keepNext w:val="0"/>
        <w:keepLines w:val="0"/>
        <w:pageBreakBefore w:val="0"/>
        <w:widowControl w:val="0"/>
        <w:numPr>
          <w:ilvl w:val="0"/>
          <w:numId w:val="12"/>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积极推进城中村改造最新政策要点解读</w:t>
      </w:r>
    </w:p>
    <w:p w14:paraId="71097658">
      <w:pPr>
        <w:pStyle w:val="15"/>
        <w:keepNext w:val="0"/>
        <w:keepLines w:val="0"/>
        <w:pageBreakBefore w:val="0"/>
        <w:widowControl w:val="0"/>
        <w:numPr>
          <w:ilvl w:val="0"/>
          <w:numId w:val="12"/>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2025年一揽子增量政策支持城中村改造的政策解读</w:t>
      </w:r>
    </w:p>
    <w:p w14:paraId="1C661910">
      <w:pPr>
        <w:pStyle w:val="8"/>
        <w:keepNext w:val="0"/>
        <w:keepLines w:val="0"/>
        <w:pageBreakBefore w:val="0"/>
        <w:shd w:val="clear" w:color="auto" w:fill="FFFFFF"/>
        <w:kinsoku/>
        <w:wordWrap/>
        <w:overflowPunct/>
        <w:topLinePunct w:val="0"/>
        <w:bidi w:val="0"/>
        <w:adjustRightInd/>
        <w:snapToGrid/>
        <w:spacing w:before="0" w:beforeAutospacing="0" w:after="0" w:afterAutospacing="0" w:line="600" w:lineRule="exact"/>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（二）城中村改造的三个层次</w:t>
      </w:r>
    </w:p>
    <w:p w14:paraId="13DC4332">
      <w:pPr>
        <w:pStyle w:val="15"/>
        <w:keepNext w:val="0"/>
        <w:keepLines w:val="0"/>
        <w:pageBreakBefore w:val="0"/>
        <w:widowControl w:val="0"/>
        <w:numPr>
          <w:ilvl w:val="0"/>
          <w:numId w:val="13"/>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当前存量住宅供给不足城市，当前有必要对城中村进行拆除重建</w:t>
      </w:r>
    </w:p>
    <w:p w14:paraId="040A9A7A">
      <w:pPr>
        <w:pStyle w:val="15"/>
        <w:keepNext w:val="0"/>
        <w:keepLines w:val="0"/>
        <w:pageBreakBefore w:val="0"/>
        <w:widowControl w:val="0"/>
        <w:numPr>
          <w:ilvl w:val="0"/>
          <w:numId w:val="13"/>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未来人口流入为目前存量住房过剩城市打开的新的潜在需求</w:t>
      </w:r>
    </w:p>
    <w:p w14:paraId="25D4EE79">
      <w:pPr>
        <w:pStyle w:val="15"/>
        <w:keepNext w:val="0"/>
        <w:keepLines w:val="0"/>
        <w:pageBreakBefore w:val="0"/>
        <w:widowControl w:val="0"/>
        <w:numPr>
          <w:ilvl w:val="0"/>
          <w:numId w:val="13"/>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人口流入有限且目前存量住房过剩地区的整治提升</w:t>
      </w:r>
    </w:p>
    <w:p w14:paraId="185FB048">
      <w:pPr>
        <w:pStyle w:val="15"/>
        <w:keepNext w:val="0"/>
        <w:keepLines w:val="0"/>
        <w:pageBreakBefore w:val="0"/>
        <w:widowControl w:val="0"/>
        <w:numPr>
          <w:ilvl w:val="0"/>
          <w:numId w:val="13"/>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城中村改造的层次可能的路径</w:t>
      </w:r>
    </w:p>
    <w:p w14:paraId="2B9CBC16">
      <w:pPr>
        <w:pStyle w:val="15"/>
        <w:keepNext w:val="0"/>
        <w:keepLines w:val="0"/>
        <w:pageBreakBefore w:val="0"/>
        <w:widowControl w:val="0"/>
        <w:numPr>
          <w:ilvl w:val="0"/>
          <w:numId w:val="13"/>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城中村改造，拆除重建之后的两大路径</w:t>
      </w:r>
    </w:p>
    <w:p w14:paraId="1E121BB8">
      <w:pPr>
        <w:pStyle w:val="8"/>
        <w:keepNext w:val="0"/>
        <w:keepLines w:val="0"/>
        <w:pageBreakBefore w:val="0"/>
        <w:shd w:val="clear" w:color="auto" w:fill="FFFFFF"/>
        <w:kinsoku/>
        <w:wordWrap/>
        <w:overflowPunct/>
        <w:topLinePunct w:val="0"/>
        <w:bidi w:val="0"/>
        <w:adjustRightInd/>
        <w:snapToGrid/>
        <w:spacing w:before="0" w:beforeAutospacing="0" w:after="0" w:afterAutospacing="0" w:line="600" w:lineRule="exact"/>
        <w:jc w:val="both"/>
        <w:textAlignment w:val="auto"/>
        <w:rPr>
          <w:rFonts w:hint="eastAsia" w:ascii="仿宋" w:hAnsi="仿宋" w:eastAsia="仿宋" w:cs="仿宋"/>
          <w:b w:val="0"/>
          <w:bCs/>
          <w:sz w:val="32"/>
          <w:szCs w:val="32"/>
        </w:rPr>
      </w:pPr>
      <w:bookmarkStart w:id="4" w:name="_Hlk145947208"/>
      <w:r>
        <w:rPr>
          <w:rFonts w:hint="eastAsia" w:ascii="仿宋" w:hAnsi="仿宋" w:eastAsia="仿宋" w:cs="仿宋"/>
          <w:b w:val="0"/>
          <w:bCs/>
          <w:sz w:val="32"/>
          <w:szCs w:val="32"/>
        </w:rPr>
        <w:t>（三）城中村三大改造</w:t>
      </w:r>
      <w:bookmarkEnd w:id="4"/>
      <w:r>
        <w:rPr>
          <w:rFonts w:hint="eastAsia" w:ascii="仿宋" w:hAnsi="仿宋" w:eastAsia="仿宋" w:cs="仿宋"/>
          <w:b w:val="0"/>
          <w:bCs/>
          <w:sz w:val="32"/>
          <w:szCs w:val="32"/>
        </w:rPr>
        <w:t>需求衍生出三种不同的改造模式</w:t>
      </w:r>
    </w:p>
    <w:p w14:paraId="37BE1E9D">
      <w:pPr>
        <w:pStyle w:val="15"/>
        <w:keepNext w:val="0"/>
        <w:keepLines w:val="0"/>
        <w:pageBreakBefore w:val="0"/>
        <w:widowControl w:val="0"/>
        <w:numPr>
          <w:ilvl w:val="0"/>
          <w:numId w:val="14"/>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民生公益类项目运营，满足老旧住宅品质提升需求</w:t>
      </w:r>
    </w:p>
    <w:p w14:paraId="13A92C6D">
      <w:pPr>
        <w:pStyle w:val="15"/>
        <w:keepNext w:val="0"/>
        <w:keepLines w:val="0"/>
        <w:pageBreakBefore w:val="0"/>
        <w:widowControl w:val="0"/>
        <w:numPr>
          <w:ilvl w:val="0"/>
          <w:numId w:val="14"/>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市场化商业运营，满足住宅及产业需求</w:t>
      </w:r>
    </w:p>
    <w:p w14:paraId="5C1A1EB3">
      <w:pPr>
        <w:pStyle w:val="15"/>
        <w:keepNext w:val="0"/>
        <w:keepLines w:val="0"/>
        <w:pageBreakBefore w:val="0"/>
        <w:widowControl w:val="0"/>
        <w:numPr>
          <w:ilvl w:val="0"/>
          <w:numId w:val="14"/>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市场化运作和民生保障相结合，为满足租赁住宅需求</w:t>
      </w:r>
    </w:p>
    <w:p w14:paraId="444DEF3C">
      <w:pPr>
        <w:pStyle w:val="8"/>
        <w:keepNext w:val="0"/>
        <w:keepLines w:val="0"/>
        <w:pageBreakBefore w:val="0"/>
        <w:shd w:val="clear" w:color="auto" w:fill="FFFFFF"/>
        <w:kinsoku/>
        <w:wordWrap/>
        <w:overflowPunct/>
        <w:topLinePunct w:val="0"/>
        <w:bidi w:val="0"/>
        <w:adjustRightInd/>
        <w:snapToGrid/>
        <w:spacing w:before="0" w:beforeAutospacing="0" w:after="0" w:afterAutospacing="0" w:line="600" w:lineRule="exact"/>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（四）城中村改造项目的运作模式及案例解析</w:t>
      </w:r>
    </w:p>
    <w:p w14:paraId="402CE027">
      <w:pPr>
        <w:pStyle w:val="15"/>
        <w:keepNext w:val="0"/>
        <w:keepLines w:val="0"/>
        <w:pageBreakBefore w:val="0"/>
        <w:widowControl w:val="0"/>
        <w:numPr>
          <w:ilvl w:val="0"/>
          <w:numId w:val="15"/>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通过“房票安置”推动城中村改造</w:t>
      </w:r>
    </w:p>
    <w:p w14:paraId="14A002E0">
      <w:pPr>
        <w:pStyle w:val="15"/>
        <w:keepNext w:val="0"/>
        <w:keepLines w:val="0"/>
        <w:pageBreakBefore w:val="0"/>
        <w:widowControl w:val="0"/>
        <w:numPr>
          <w:ilvl w:val="0"/>
          <w:numId w:val="15"/>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通过土地整备推动城中村改造</w:t>
      </w:r>
    </w:p>
    <w:p w14:paraId="599B0285">
      <w:pPr>
        <w:pStyle w:val="15"/>
        <w:keepNext w:val="0"/>
        <w:keepLines w:val="0"/>
        <w:pageBreakBefore w:val="0"/>
        <w:widowControl w:val="0"/>
        <w:numPr>
          <w:ilvl w:val="0"/>
          <w:numId w:val="15"/>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通过做地模式推动城中村改造</w:t>
      </w:r>
    </w:p>
    <w:p w14:paraId="2ABC9C88">
      <w:pPr>
        <w:pStyle w:val="15"/>
        <w:keepNext w:val="0"/>
        <w:keepLines w:val="0"/>
        <w:pageBreakBefore w:val="0"/>
        <w:widowControl w:val="0"/>
        <w:numPr>
          <w:ilvl w:val="0"/>
          <w:numId w:val="15"/>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通过政府回购安置房推动城中村改造</w:t>
      </w:r>
    </w:p>
    <w:p w14:paraId="1B043DA6">
      <w:pPr>
        <w:pStyle w:val="15"/>
        <w:keepNext w:val="0"/>
        <w:keepLines w:val="0"/>
        <w:pageBreakBefore w:val="0"/>
        <w:widowControl w:val="0"/>
        <w:numPr>
          <w:ilvl w:val="0"/>
          <w:numId w:val="15"/>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通过工业上楼</w:t>
      </w:r>
      <w:bookmarkStart w:id="5" w:name="_Hlk147998634"/>
      <w:r>
        <w:rPr>
          <w:rFonts w:hint="eastAsia" w:ascii="仿宋" w:hAnsi="仿宋" w:eastAsia="仿宋" w:cs="仿宋"/>
          <w:kern w:val="2"/>
          <w:sz w:val="32"/>
          <w:szCs w:val="32"/>
          <w:lang w:val="en-US" w:bidi="ar-SA"/>
          <w14:ligatures w14:val="standardContextual"/>
        </w:rPr>
        <w:t>推动城中村改造</w:t>
      </w:r>
      <w:bookmarkEnd w:id="5"/>
    </w:p>
    <w:p w14:paraId="716ACFFF">
      <w:pPr>
        <w:pStyle w:val="15"/>
        <w:keepNext w:val="0"/>
        <w:keepLines w:val="0"/>
        <w:pageBreakBefore w:val="0"/>
        <w:widowControl w:val="0"/>
        <w:numPr>
          <w:ilvl w:val="0"/>
          <w:numId w:val="15"/>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通过整治提升推动民生保障</w:t>
      </w:r>
    </w:p>
    <w:p w14:paraId="692D8641">
      <w:pPr>
        <w:pStyle w:val="8"/>
        <w:keepNext w:val="0"/>
        <w:keepLines w:val="0"/>
        <w:pageBreakBefore w:val="0"/>
        <w:shd w:val="clear" w:color="auto" w:fill="FFFFFF"/>
        <w:kinsoku/>
        <w:wordWrap/>
        <w:overflowPunct/>
        <w:topLinePunct w:val="0"/>
        <w:bidi w:val="0"/>
        <w:adjustRightInd/>
        <w:snapToGrid/>
        <w:spacing w:before="0" w:beforeAutospacing="0" w:after="0" w:afterAutospacing="0" w:line="600" w:lineRule="exact"/>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（五）城中村改造投融资模式解析及案例分享</w:t>
      </w:r>
    </w:p>
    <w:p w14:paraId="2EE08DE0">
      <w:pPr>
        <w:pStyle w:val="15"/>
        <w:keepNext w:val="0"/>
        <w:keepLines w:val="0"/>
        <w:pageBreakBefore w:val="0"/>
        <w:widowControl w:val="0"/>
        <w:numPr>
          <w:ilvl w:val="0"/>
          <w:numId w:val="16"/>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委托代建+采购工程、采购服务模式：操作要点与案例分享</w:t>
      </w:r>
    </w:p>
    <w:p w14:paraId="74E36D48">
      <w:pPr>
        <w:pStyle w:val="15"/>
        <w:keepNext w:val="0"/>
        <w:keepLines w:val="0"/>
        <w:pageBreakBefore w:val="0"/>
        <w:widowControl w:val="0"/>
        <w:numPr>
          <w:ilvl w:val="0"/>
          <w:numId w:val="16"/>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做地模式要点及石家庄、广州国企筹资合规性、可融资性分析</w:t>
      </w:r>
    </w:p>
    <w:p w14:paraId="7B519757">
      <w:pPr>
        <w:pStyle w:val="15"/>
        <w:keepNext w:val="0"/>
        <w:keepLines w:val="0"/>
        <w:pageBreakBefore w:val="0"/>
        <w:widowControl w:val="0"/>
        <w:numPr>
          <w:ilvl w:val="0"/>
          <w:numId w:val="16"/>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土地一二级开发分段+联合模式：长沙相关政策及操作案例分享</w:t>
      </w:r>
    </w:p>
    <w:p w14:paraId="0427D05B">
      <w:pPr>
        <w:pStyle w:val="15"/>
        <w:keepNext w:val="0"/>
        <w:keepLines w:val="0"/>
        <w:pageBreakBefore w:val="0"/>
        <w:widowControl w:val="0"/>
        <w:numPr>
          <w:ilvl w:val="0"/>
          <w:numId w:val="16"/>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二级赎买一级模式与二级补偿一级模式：政策依据、操作要点及如何市场化融资</w:t>
      </w:r>
    </w:p>
    <w:p w14:paraId="0670EE55">
      <w:pPr>
        <w:pStyle w:val="15"/>
        <w:keepNext w:val="0"/>
        <w:keepLines w:val="0"/>
        <w:pageBreakBefore w:val="0"/>
        <w:widowControl w:val="0"/>
        <w:numPr>
          <w:ilvl w:val="0"/>
          <w:numId w:val="16"/>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反向委托（或反向购买）模式：如何实现净地一二级联动融资及案例分享</w:t>
      </w:r>
    </w:p>
    <w:p w14:paraId="7ACBA1F7">
      <w:pPr>
        <w:pStyle w:val="15"/>
        <w:keepNext w:val="0"/>
        <w:keepLines w:val="0"/>
        <w:pageBreakBefore w:val="0"/>
        <w:widowControl w:val="0"/>
        <w:numPr>
          <w:ilvl w:val="0"/>
          <w:numId w:val="16"/>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包装借款模式：央国企两种借款模式的应用要点，如何合规解决征拆资金与项目资本金，如何进行市场化融资？</w:t>
      </w:r>
    </w:p>
    <w:p w14:paraId="4C474365">
      <w:pPr>
        <w:pStyle w:val="15"/>
        <w:keepNext w:val="0"/>
        <w:keepLines w:val="0"/>
        <w:pageBreakBefore w:val="0"/>
        <w:widowControl w:val="0"/>
        <w:numPr>
          <w:ilvl w:val="0"/>
          <w:numId w:val="16"/>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城中村专项债模式：融资的两种模式介绍及案例分享</w:t>
      </w:r>
    </w:p>
    <w:p w14:paraId="46D64EC3">
      <w:pPr>
        <w:pStyle w:val="8"/>
        <w:keepNext w:val="0"/>
        <w:keepLines w:val="0"/>
        <w:pageBreakBefore w:val="0"/>
        <w:shd w:val="clear" w:color="auto" w:fill="FFFFFF"/>
        <w:kinsoku/>
        <w:wordWrap/>
        <w:overflowPunct/>
        <w:topLinePunct w:val="0"/>
        <w:bidi w:val="0"/>
        <w:adjustRightInd/>
        <w:snapToGrid/>
        <w:spacing w:before="0" w:beforeAutospacing="0" w:after="0" w:afterAutospacing="0" w:line="600" w:lineRule="exact"/>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（六）城中村改造项目结构化合作模式案例分享</w:t>
      </w:r>
    </w:p>
    <w:p w14:paraId="26986409">
      <w:pPr>
        <w:pStyle w:val="15"/>
        <w:keepNext w:val="0"/>
        <w:keepLines w:val="0"/>
        <w:pageBreakBefore w:val="0"/>
        <w:widowControl w:val="0"/>
        <w:numPr>
          <w:ilvl w:val="0"/>
          <w:numId w:val="17"/>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“政府授权+城市合伙人+EPC”做大做强城投模式</w:t>
      </w:r>
    </w:p>
    <w:p w14:paraId="3F4274E7">
      <w:pPr>
        <w:pStyle w:val="15"/>
        <w:keepNext w:val="0"/>
        <w:keepLines w:val="0"/>
        <w:pageBreakBefore w:val="0"/>
        <w:widowControl w:val="0"/>
        <w:numPr>
          <w:ilvl w:val="0"/>
          <w:numId w:val="17"/>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城中村综合开发“投资合作+EPC”模式</w:t>
      </w:r>
    </w:p>
    <w:p w14:paraId="738B8E44">
      <w:pPr>
        <w:pStyle w:val="15"/>
        <w:keepNext w:val="0"/>
        <w:keepLines w:val="0"/>
        <w:pageBreakBefore w:val="0"/>
        <w:widowControl w:val="0"/>
        <w:numPr>
          <w:ilvl w:val="0"/>
          <w:numId w:val="17"/>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专项债+土地模式</w:t>
      </w:r>
    </w:p>
    <w:p w14:paraId="4BDDCA6D">
      <w:pPr>
        <w:pStyle w:val="15"/>
        <w:keepNext w:val="0"/>
        <w:keepLines w:val="0"/>
        <w:pageBreakBefore w:val="0"/>
        <w:widowControl w:val="0"/>
        <w:numPr>
          <w:ilvl w:val="0"/>
          <w:numId w:val="17"/>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专项债+市场化融资模式</w:t>
      </w:r>
    </w:p>
    <w:p w14:paraId="16AB9E07">
      <w:pPr>
        <w:pStyle w:val="15"/>
        <w:keepNext w:val="0"/>
        <w:keepLines w:val="0"/>
        <w:pageBreakBefore w:val="0"/>
        <w:widowControl w:val="0"/>
        <w:numPr>
          <w:ilvl w:val="0"/>
          <w:numId w:val="17"/>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认购基金+施工总承包模式</w:t>
      </w:r>
    </w:p>
    <w:p w14:paraId="50DA31A2">
      <w:pPr>
        <w:pStyle w:val="15"/>
        <w:keepNext w:val="0"/>
        <w:keepLines w:val="0"/>
        <w:pageBreakBefore w:val="0"/>
        <w:widowControl w:val="0"/>
        <w:numPr>
          <w:ilvl w:val="0"/>
          <w:numId w:val="17"/>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股权回购退出+EPC模式：投资性退出及股东性退出的两种模式如何操作，项目如何融资？</w:t>
      </w:r>
    </w:p>
    <w:p w14:paraId="5DAEEB71">
      <w:pPr>
        <w:pStyle w:val="15"/>
        <w:keepNext w:val="0"/>
        <w:keepLines w:val="0"/>
        <w:pageBreakBefore w:val="0"/>
        <w:widowControl w:val="0"/>
        <w:numPr>
          <w:ilvl w:val="0"/>
          <w:numId w:val="17"/>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平台摘地+融资合作建设运营模式</w:t>
      </w:r>
    </w:p>
    <w:p w14:paraId="0F7E242A">
      <w:pPr>
        <w:pStyle w:val="8"/>
        <w:keepNext w:val="0"/>
        <w:keepLines w:val="0"/>
        <w:pageBreakBefore w:val="0"/>
        <w:shd w:val="clear" w:color="auto" w:fill="FFFFFF"/>
        <w:kinsoku/>
        <w:wordWrap/>
        <w:overflowPunct/>
        <w:topLinePunct w:val="0"/>
        <w:bidi w:val="0"/>
        <w:adjustRightInd/>
        <w:snapToGrid/>
        <w:spacing w:before="0" w:beforeAutospacing="0" w:after="0" w:afterAutospacing="0" w:line="600" w:lineRule="exact"/>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（七）城中村改造资金来源</w:t>
      </w:r>
    </w:p>
    <w:p w14:paraId="68EE8D24">
      <w:pPr>
        <w:pStyle w:val="15"/>
        <w:keepNext w:val="0"/>
        <w:keepLines w:val="0"/>
        <w:pageBreakBefore w:val="0"/>
        <w:widowControl w:val="0"/>
        <w:numPr>
          <w:ilvl w:val="0"/>
          <w:numId w:val="18"/>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财政资金（包括中省补贴及超长特别国债）</w:t>
      </w:r>
      <w:r>
        <w:rPr>
          <w:rFonts w:hint="eastAsia" w:ascii="仿宋" w:hAnsi="仿宋" w:eastAsia="仿宋" w:cs="仿宋"/>
          <w:kern w:val="2"/>
          <w:sz w:val="32"/>
          <w:szCs w:val="32"/>
          <w:lang w:val="en-US" w:eastAsia="zh-CN" w:bidi="ar-SA"/>
          <w14:ligatures w14:val="standardContextual"/>
        </w:rPr>
        <w:t>和</w:t>
      </w:r>
      <w:r>
        <w:rPr>
          <w:rFonts w:hint="eastAsia" w:ascii="仿宋" w:hAnsi="仿宋" w:eastAsia="仿宋" w:cs="仿宋"/>
          <w:kern w:val="2"/>
          <w:sz w:val="32"/>
          <w:szCs w:val="32"/>
          <w:lang w:val="en-US" w:bidi="ar-SA"/>
          <w14:ligatures w14:val="standardContextual"/>
        </w:rPr>
        <w:t>专项债</w:t>
      </w:r>
    </w:p>
    <w:p w14:paraId="22A98302">
      <w:pPr>
        <w:pStyle w:val="15"/>
        <w:keepNext w:val="0"/>
        <w:keepLines w:val="0"/>
        <w:pageBreakBefore w:val="0"/>
        <w:widowControl w:val="0"/>
        <w:numPr>
          <w:ilvl w:val="0"/>
          <w:numId w:val="18"/>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城中村改造专项借款（央行投放PSL审贷的主要条件）</w:t>
      </w:r>
    </w:p>
    <w:p w14:paraId="7A766B33">
      <w:pPr>
        <w:pStyle w:val="15"/>
        <w:keepNext w:val="0"/>
        <w:keepLines w:val="0"/>
        <w:pageBreakBefore w:val="0"/>
        <w:widowControl w:val="0"/>
        <w:numPr>
          <w:ilvl w:val="0"/>
          <w:numId w:val="18"/>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金监局对商业银行为城中村提供贷款的要点</w:t>
      </w:r>
    </w:p>
    <w:p w14:paraId="2BFB8933">
      <w:pPr>
        <w:pStyle w:val="15"/>
        <w:keepNext w:val="0"/>
        <w:keepLines w:val="0"/>
        <w:pageBreakBefore w:val="0"/>
        <w:widowControl w:val="0"/>
        <w:numPr>
          <w:ilvl w:val="0"/>
          <w:numId w:val="18"/>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“专项债+银行贷款”收购存量闲置土地</w:t>
      </w:r>
    </w:p>
    <w:p w14:paraId="6BCB452A">
      <w:pPr>
        <w:pStyle w:val="15"/>
        <w:keepNext w:val="0"/>
        <w:keepLines w:val="0"/>
        <w:pageBreakBefore w:val="0"/>
        <w:widowControl w:val="0"/>
        <w:numPr>
          <w:ilvl w:val="0"/>
          <w:numId w:val="18"/>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改造主体自筹</w:t>
      </w:r>
    </w:p>
    <w:p w14:paraId="70293BB7">
      <w:pPr>
        <w:pStyle w:val="15"/>
        <w:keepNext w:val="0"/>
        <w:keepLines w:val="0"/>
        <w:pageBreakBefore w:val="0"/>
        <w:widowControl w:val="0"/>
        <w:numPr>
          <w:ilvl w:val="0"/>
          <w:numId w:val="18"/>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社会资本出资及参与模式</w:t>
      </w:r>
    </w:p>
    <w:p w14:paraId="5BAA6444">
      <w:pPr>
        <w:pStyle w:val="8"/>
        <w:keepNext w:val="0"/>
        <w:keepLines w:val="0"/>
        <w:pageBreakBefore w:val="0"/>
        <w:shd w:val="clear" w:color="auto" w:fill="FFFFFF"/>
        <w:kinsoku/>
        <w:wordWrap/>
        <w:overflowPunct/>
        <w:topLinePunct w:val="0"/>
        <w:bidi w:val="0"/>
        <w:adjustRightInd/>
        <w:snapToGrid/>
        <w:spacing w:before="0" w:beforeAutospacing="0" w:after="0" w:afterAutospacing="0" w:line="600" w:lineRule="exact"/>
        <w:jc w:val="both"/>
        <w:textAlignment w:val="auto"/>
        <w:rPr>
          <w:rFonts w:hint="eastAsia" w:ascii="楷体" w:hAnsi="楷体" w:eastAsia="楷体" w:cs="楷体"/>
          <w:b/>
          <w:sz w:val="32"/>
          <w:szCs w:val="32"/>
        </w:rPr>
      </w:pPr>
      <w:r>
        <w:rPr>
          <w:rFonts w:hint="eastAsia" w:ascii="楷体" w:hAnsi="楷体" w:eastAsia="楷体" w:cs="楷体"/>
          <w:b/>
          <w:sz w:val="32"/>
          <w:szCs w:val="32"/>
          <w:lang w:val="en-US" w:eastAsia="zh-CN"/>
        </w:rPr>
        <w:t>模块七</w:t>
      </w:r>
      <w:r>
        <w:rPr>
          <w:rFonts w:hint="eastAsia" w:ascii="楷体" w:hAnsi="楷体" w:eastAsia="楷体" w:cs="楷体"/>
          <w:b/>
          <w:sz w:val="32"/>
          <w:szCs w:val="32"/>
        </w:rPr>
        <w:t>、</w:t>
      </w:r>
      <w:bookmarkStart w:id="6" w:name="_Hlk187850014"/>
      <w:r>
        <w:rPr>
          <w:rFonts w:hint="eastAsia" w:ascii="楷体" w:hAnsi="楷体" w:eastAsia="楷体" w:cs="楷体"/>
          <w:b/>
          <w:sz w:val="32"/>
          <w:szCs w:val="32"/>
        </w:rPr>
        <w:t>数智赋能城市更新</w:t>
      </w:r>
      <w:bookmarkEnd w:id="6"/>
      <w:r>
        <w:rPr>
          <w:rFonts w:hint="eastAsia" w:ascii="楷体" w:hAnsi="楷体" w:eastAsia="楷体" w:cs="楷体"/>
          <w:b/>
          <w:sz w:val="32"/>
          <w:szCs w:val="32"/>
        </w:rPr>
        <w:t>暨城中村改造</w:t>
      </w:r>
    </w:p>
    <w:p w14:paraId="15171F19">
      <w:pPr>
        <w:pStyle w:val="8"/>
        <w:keepNext w:val="0"/>
        <w:keepLines w:val="0"/>
        <w:pageBreakBefore w:val="0"/>
        <w:shd w:val="clear" w:color="auto" w:fill="FFFFFF"/>
        <w:kinsoku/>
        <w:wordWrap/>
        <w:overflowPunct/>
        <w:topLinePunct w:val="0"/>
        <w:bidi w:val="0"/>
        <w:adjustRightInd/>
        <w:snapToGrid/>
        <w:spacing w:before="0" w:beforeAutospacing="0" w:after="0" w:afterAutospacing="0" w:line="600" w:lineRule="exact"/>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（一）中办国办《关于推进新型城市基础设施建设打造韧性城市的意见》（2024年11月26日）要点解析</w:t>
      </w:r>
    </w:p>
    <w:p w14:paraId="6455EE4E">
      <w:pPr>
        <w:pStyle w:val="8"/>
        <w:keepNext w:val="0"/>
        <w:keepLines w:val="0"/>
        <w:pageBreakBefore w:val="0"/>
        <w:shd w:val="clear" w:color="auto" w:fill="FFFFFF"/>
        <w:kinsoku/>
        <w:wordWrap/>
        <w:overflowPunct/>
        <w:topLinePunct w:val="0"/>
        <w:bidi w:val="0"/>
        <w:adjustRightInd/>
        <w:snapToGrid/>
        <w:spacing w:before="0" w:beforeAutospacing="0" w:after="0" w:afterAutospacing="0" w:line="600" w:lineRule="exact"/>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（二）2024年12月24日全国住房城乡建设工作会议，以“新城建”为引擎打造高水平“数字住建”要点解析</w:t>
      </w:r>
    </w:p>
    <w:p w14:paraId="046E4B8A">
      <w:pPr>
        <w:pStyle w:val="8"/>
        <w:keepNext w:val="0"/>
        <w:keepLines w:val="0"/>
        <w:pageBreakBefore w:val="0"/>
        <w:shd w:val="clear" w:color="auto" w:fill="FFFFFF"/>
        <w:kinsoku/>
        <w:wordWrap/>
        <w:overflowPunct/>
        <w:topLinePunct w:val="0"/>
        <w:bidi w:val="0"/>
        <w:adjustRightInd/>
        <w:snapToGrid/>
        <w:spacing w:before="0" w:beforeAutospacing="0" w:after="0" w:afterAutospacing="0" w:line="600" w:lineRule="exact"/>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（三）数智赋能城市更新投融资模式</w:t>
      </w:r>
    </w:p>
    <w:p w14:paraId="7C0D0548">
      <w:pPr>
        <w:pStyle w:val="15"/>
        <w:keepNext w:val="0"/>
        <w:keepLines w:val="0"/>
        <w:pageBreakBefore w:val="0"/>
        <w:widowControl w:val="0"/>
        <w:numPr>
          <w:ilvl w:val="0"/>
          <w:numId w:val="19"/>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市政基础设施信息化、5G融合、城市运行管理服务平台等采用专项债模式</w:t>
      </w:r>
    </w:p>
    <w:p w14:paraId="1A909BE3">
      <w:pPr>
        <w:pStyle w:val="15"/>
        <w:keepNext w:val="0"/>
        <w:keepLines w:val="0"/>
        <w:pageBreakBefore w:val="0"/>
        <w:widowControl w:val="0"/>
        <w:numPr>
          <w:ilvl w:val="0"/>
          <w:numId w:val="19"/>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政府授权投资模式</w:t>
      </w:r>
    </w:p>
    <w:p w14:paraId="07CCBF29">
      <w:pPr>
        <w:pStyle w:val="15"/>
        <w:keepNext w:val="0"/>
        <w:keepLines w:val="0"/>
        <w:pageBreakBefore w:val="0"/>
        <w:widowControl w:val="0"/>
        <w:numPr>
          <w:ilvl w:val="0"/>
          <w:numId w:val="19"/>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企业投资（投资人+EPC）模式</w:t>
      </w:r>
    </w:p>
    <w:p w14:paraId="30B655F9">
      <w:pPr>
        <w:pStyle w:val="15"/>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jc w:val="both"/>
        <w:textAlignment w:val="auto"/>
        <w:rPr>
          <w:rFonts w:hint="eastAsia" w:ascii="仿宋" w:hAnsi="仿宋" w:eastAsia="仿宋" w:cs="仿宋"/>
          <w:kern w:val="2"/>
          <w:sz w:val="32"/>
          <w:szCs w:val="32"/>
          <w:lang w:val="en-US" w:bidi="ar-SA"/>
          <w14:ligatures w14:val="standardContextual"/>
        </w:rPr>
      </w:pPr>
      <w:r>
        <w:rPr>
          <w:rFonts w:hint="eastAsia" w:ascii="楷体" w:hAnsi="楷体" w:eastAsia="楷体" w:cs="楷体"/>
          <w:b/>
          <w:sz w:val="32"/>
          <w:szCs w:val="32"/>
          <w:lang w:val="en-US" w:eastAsia="zh-CN"/>
        </w:rPr>
        <w:t>模块八、低空经济基建运营专题</w:t>
      </w:r>
    </w:p>
    <w:p w14:paraId="445986B7">
      <w:pPr>
        <w:pStyle w:val="15"/>
        <w:keepNext w:val="0"/>
        <w:keepLines w:val="0"/>
        <w:pageBreakBefore w:val="0"/>
        <w:widowControl w:val="0"/>
        <w:numPr>
          <w:ilvl w:val="0"/>
          <w:numId w:val="20"/>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bookmarkStart w:id="7" w:name="_Toc174356394"/>
      <w:r>
        <w:rPr>
          <w:rFonts w:hint="eastAsia" w:ascii="仿宋" w:hAnsi="仿宋" w:eastAsia="仿宋" w:cs="仿宋"/>
          <w:kern w:val="2"/>
          <w:sz w:val="32"/>
          <w:szCs w:val="32"/>
          <w:lang w:val="en-US" w:bidi="ar-SA"/>
          <w14:ligatures w14:val="standardContextual"/>
        </w:rPr>
        <w:t>低空经济的发展</w:t>
      </w:r>
      <w:bookmarkEnd w:id="7"/>
      <w:r>
        <w:rPr>
          <w:rFonts w:hint="eastAsia" w:ascii="仿宋" w:hAnsi="仿宋" w:eastAsia="仿宋" w:cs="仿宋"/>
          <w:kern w:val="2"/>
          <w:sz w:val="32"/>
          <w:szCs w:val="32"/>
          <w:lang w:val="en-US" w:bidi="ar-SA"/>
          <w14:ligatures w14:val="standardContextual"/>
        </w:rPr>
        <w:t>概况</w:t>
      </w:r>
    </w:p>
    <w:p w14:paraId="527F63C2">
      <w:pPr>
        <w:pStyle w:val="15"/>
        <w:keepNext w:val="0"/>
        <w:keepLines w:val="0"/>
        <w:pageBreakBefore w:val="0"/>
        <w:widowControl w:val="0"/>
        <w:numPr>
          <w:ilvl w:val="0"/>
          <w:numId w:val="20"/>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bookmarkStart w:id="8" w:name="_Toc174356405"/>
      <w:r>
        <w:rPr>
          <w:rFonts w:hint="eastAsia" w:ascii="仿宋" w:hAnsi="仿宋" w:eastAsia="仿宋" w:cs="仿宋"/>
          <w:kern w:val="2"/>
          <w:sz w:val="32"/>
          <w:szCs w:val="32"/>
          <w:lang w:val="en-US" w:bidi="ar-SA"/>
          <w14:ligatures w14:val="standardContextual"/>
        </w:rPr>
        <w:t>低空经济最新政策及</w:t>
      </w:r>
      <w:r>
        <w:rPr>
          <w:rFonts w:hint="eastAsia" w:ascii="仿宋" w:hAnsi="仿宋" w:eastAsia="仿宋" w:cs="仿宋"/>
          <w:kern w:val="2"/>
          <w:sz w:val="32"/>
          <w:szCs w:val="32"/>
          <w:lang w:val="en-US" w:eastAsia="zh-CN" w:bidi="ar-SA"/>
          <w14:ligatures w14:val="standardContextual"/>
        </w:rPr>
        <w:t>补贴申报</w:t>
      </w:r>
    </w:p>
    <w:bookmarkEnd w:id="8"/>
    <w:p w14:paraId="2D084FBC">
      <w:pPr>
        <w:pStyle w:val="15"/>
        <w:keepNext w:val="0"/>
        <w:keepLines w:val="0"/>
        <w:pageBreakBefore w:val="0"/>
        <w:widowControl w:val="0"/>
        <w:numPr>
          <w:ilvl w:val="0"/>
          <w:numId w:val="20"/>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低空经济关键技术</w:t>
      </w:r>
      <w:r>
        <w:rPr>
          <w:rFonts w:hint="eastAsia" w:ascii="仿宋" w:hAnsi="仿宋" w:eastAsia="仿宋" w:cs="仿宋"/>
          <w:kern w:val="2"/>
          <w:sz w:val="32"/>
          <w:szCs w:val="32"/>
          <w:lang w:val="en-US" w:eastAsia="zh-CN" w:bidi="ar-SA"/>
          <w14:ligatures w14:val="standardContextual"/>
        </w:rPr>
        <w:t>和</w:t>
      </w:r>
      <w:r>
        <w:rPr>
          <w:rFonts w:hint="eastAsia" w:ascii="仿宋" w:hAnsi="仿宋" w:eastAsia="仿宋" w:cs="仿宋"/>
          <w:kern w:val="2"/>
          <w:sz w:val="32"/>
          <w:szCs w:val="32"/>
          <w:lang w:val="en-US" w:bidi="ar-SA"/>
          <w14:ligatures w14:val="standardContextual"/>
        </w:rPr>
        <w:t>应用场景</w:t>
      </w:r>
    </w:p>
    <w:p w14:paraId="27E86209">
      <w:pPr>
        <w:pStyle w:val="15"/>
        <w:keepNext w:val="0"/>
        <w:keepLines w:val="0"/>
        <w:pageBreakBefore w:val="0"/>
        <w:widowControl w:val="0"/>
        <w:numPr>
          <w:ilvl w:val="0"/>
          <w:numId w:val="20"/>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bookmarkStart w:id="9" w:name="_Toc174356442"/>
      <w:r>
        <w:rPr>
          <w:rFonts w:hint="eastAsia" w:ascii="仿宋" w:hAnsi="仿宋" w:eastAsia="仿宋" w:cs="仿宋"/>
          <w:kern w:val="2"/>
          <w:sz w:val="32"/>
          <w:szCs w:val="32"/>
          <w:lang w:val="en-US" w:bidi="ar-SA"/>
          <w14:ligatures w14:val="standardContextual"/>
        </w:rPr>
        <w:t>低空经济</w:t>
      </w:r>
      <w:bookmarkEnd w:id="9"/>
      <w:r>
        <w:rPr>
          <w:rFonts w:hint="eastAsia" w:ascii="仿宋" w:hAnsi="仿宋" w:eastAsia="仿宋" w:cs="仿宋"/>
          <w:kern w:val="2"/>
          <w:sz w:val="32"/>
          <w:szCs w:val="32"/>
          <w:lang w:val="en-US" w:bidi="ar-SA"/>
          <w14:ligatures w14:val="standardContextual"/>
        </w:rPr>
        <w:t>经营管理与</w:t>
      </w:r>
      <w:r>
        <w:rPr>
          <w:rFonts w:hint="eastAsia" w:ascii="仿宋" w:hAnsi="仿宋" w:eastAsia="仿宋" w:cs="仿宋"/>
          <w:kern w:val="2"/>
          <w:sz w:val="32"/>
          <w:szCs w:val="32"/>
          <w:lang w:val="en-US" w:eastAsia="zh-CN" w:bidi="ar-SA"/>
          <w14:ligatures w14:val="standardContextual"/>
        </w:rPr>
        <w:t>产业发展</w:t>
      </w:r>
    </w:p>
    <w:p w14:paraId="73076D34">
      <w:pPr>
        <w:pStyle w:val="15"/>
        <w:keepNext w:val="0"/>
        <w:keepLines w:val="0"/>
        <w:pageBreakBefore w:val="0"/>
        <w:widowControl w:val="0"/>
        <w:numPr>
          <w:ilvl w:val="0"/>
          <w:numId w:val="20"/>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低空</w:t>
      </w:r>
      <w:r>
        <w:rPr>
          <w:rFonts w:hint="eastAsia" w:ascii="仿宋" w:hAnsi="仿宋" w:eastAsia="仿宋" w:cs="仿宋"/>
          <w:kern w:val="2"/>
          <w:sz w:val="32"/>
          <w:szCs w:val="32"/>
          <w:lang w:val="en-US" w:eastAsia="zh-CN" w:bidi="ar-SA"/>
          <w14:ligatures w14:val="standardContextual"/>
        </w:rPr>
        <w:t>城市规划</w:t>
      </w:r>
      <w:r>
        <w:rPr>
          <w:rFonts w:hint="eastAsia" w:ascii="仿宋" w:hAnsi="仿宋" w:eastAsia="仿宋" w:cs="仿宋"/>
          <w:kern w:val="2"/>
          <w:sz w:val="32"/>
          <w:szCs w:val="32"/>
          <w:lang w:val="en-US" w:bidi="ar-SA"/>
          <w14:ligatures w14:val="standardContextual"/>
        </w:rPr>
        <w:t>与基础设施建设</w:t>
      </w:r>
      <w:r>
        <w:rPr>
          <w:rFonts w:hint="eastAsia" w:ascii="仿宋" w:hAnsi="仿宋" w:eastAsia="仿宋" w:cs="仿宋"/>
          <w:kern w:val="2"/>
          <w:sz w:val="32"/>
          <w:szCs w:val="32"/>
          <w:lang w:val="en-US" w:eastAsia="zh-CN" w:bidi="ar-SA"/>
          <w14:ligatures w14:val="standardContextual"/>
        </w:rPr>
        <w:t>运营</w:t>
      </w:r>
    </w:p>
    <w:p w14:paraId="0CB2C4F6">
      <w:pPr>
        <w:pStyle w:val="15"/>
        <w:keepNext w:val="0"/>
        <w:keepLines w:val="0"/>
        <w:pageBreakBefore w:val="0"/>
        <w:widowControl w:val="0"/>
        <w:numPr>
          <w:ilvl w:val="0"/>
          <w:numId w:val="20"/>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低空经济项目合规投融和产业落地</w:t>
      </w:r>
    </w:p>
    <w:p w14:paraId="749AF143">
      <w:pPr>
        <w:pStyle w:val="15"/>
        <w:keepNext w:val="0"/>
        <w:keepLines w:val="0"/>
        <w:pageBreakBefore w:val="0"/>
        <w:widowControl w:val="0"/>
        <w:numPr>
          <w:ilvl w:val="0"/>
          <w:numId w:val="20"/>
        </w:numPr>
        <w:kinsoku/>
        <w:wordWrap/>
        <w:overflowPunct/>
        <w:topLinePunct w:val="0"/>
        <w:autoSpaceDE/>
        <w:autoSpaceDN/>
        <w:bidi w:val="0"/>
        <w:adjustRightInd/>
        <w:snapToGrid/>
        <w:spacing w:before="0" w:line="600" w:lineRule="exact"/>
        <w:ind w:left="425" w:leftChars="0" w:hanging="425" w:firstLineChars="0"/>
        <w:jc w:val="both"/>
        <w:textAlignment w:val="auto"/>
        <w:rPr>
          <w:rFonts w:hint="eastAsia" w:ascii="仿宋" w:hAnsi="仿宋" w:eastAsia="仿宋" w:cs="仿宋"/>
          <w:b/>
          <w:sz w:val="32"/>
          <w:szCs w:val="32"/>
        </w:rPr>
      </w:pPr>
      <w:r>
        <w:rPr>
          <w:rFonts w:hint="eastAsia" w:ascii="仿宋" w:hAnsi="仿宋" w:eastAsia="仿宋" w:cs="仿宋"/>
          <w:kern w:val="2"/>
          <w:sz w:val="32"/>
          <w:szCs w:val="32"/>
          <w:lang w:val="en-US" w:bidi="ar-SA"/>
          <w14:ligatures w14:val="standardContextual"/>
        </w:rPr>
        <w:t>低空经济基础设施建设</w:t>
      </w:r>
      <w:r>
        <w:rPr>
          <w:rFonts w:hint="eastAsia" w:ascii="仿宋" w:hAnsi="仿宋" w:eastAsia="仿宋" w:cs="仿宋"/>
          <w:kern w:val="2"/>
          <w:sz w:val="32"/>
          <w:szCs w:val="32"/>
          <w:lang w:val="en-US" w:eastAsia="zh-CN" w:bidi="ar-SA"/>
          <w14:ligatures w14:val="standardContextual"/>
        </w:rPr>
        <w:t>VOD模式</w:t>
      </w:r>
    </w:p>
    <w:p w14:paraId="0FE43A2A">
      <w:pPr>
        <w:keepNext w:val="0"/>
        <w:keepLines w:val="0"/>
        <w:pageBreakBefore w:val="0"/>
        <w:kinsoku/>
        <w:wordWrap/>
        <w:overflowPunct/>
        <w:topLinePunct w:val="0"/>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三、师资介绍</w:t>
      </w:r>
    </w:p>
    <w:p w14:paraId="51438F09">
      <w:pPr>
        <w:keepNext w:val="0"/>
        <w:keepLines w:val="0"/>
        <w:pageBreakBefore w:val="0"/>
        <w:kinsoku/>
        <w:wordWrap/>
        <w:overflowPunct/>
        <w:topLinePunct w:val="0"/>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拟邀请行业管理部门、</w:t>
      </w:r>
      <w:r>
        <w:rPr>
          <w:rFonts w:hint="eastAsia" w:ascii="仿宋" w:hAnsi="仿宋" w:eastAsia="仿宋" w:cs="仿宋"/>
          <w:sz w:val="32"/>
          <w:szCs w:val="32"/>
          <w:lang w:val="en-US" w:eastAsia="zh-CN"/>
        </w:rPr>
        <w:t>专项债申请审计、城市更新、</w:t>
      </w:r>
      <w:r>
        <w:rPr>
          <w:rFonts w:hint="eastAsia" w:ascii="仿宋" w:hAnsi="仿宋" w:eastAsia="仿宋" w:cs="仿宋"/>
          <w:sz w:val="32"/>
          <w:szCs w:val="32"/>
        </w:rPr>
        <w:t>低空</w:t>
      </w:r>
      <w:r>
        <w:rPr>
          <w:rFonts w:hint="eastAsia" w:ascii="仿宋" w:hAnsi="仿宋" w:eastAsia="仿宋" w:cs="仿宋"/>
          <w:sz w:val="32"/>
          <w:szCs w:val="32"/>
          <w:lang w:val="en-US" w:eastAsia="zh-CN"/>
        </w:rPr>
        <w:t>基建</w:t>
      </w:r>
      <w:r>
        <w:rPr>
          <w:rFonts w:hint="eastAsia" w:ascii="仿宋" w:hAnsi="仿宋" w:eastAsia="仿宋" w:cs="仿宋"/>
          <w:sz w:val="32"/>
          <w:szCs w:val="32"/>
        </w:rPr>
        <w:t>运行企业、科研机构的行业知名专家授课；拟由证券公司、咨询公司、律师事务所、会计师事务所实操专家以专题讲座、案例分析、方案咨询、研讨交流等形式进行讲解。</w:t>
      </w:r>
    </w:p>
    <w:p w14:paraId="7FE103D2">
      <w:pPr>
        <w:keepNext w:val="0"/>
        <w:keepLines w:val="0"/>
        <w:pageBreakBefore w:val="0"/>
        <w:kinsoku/>
        <w:wordWrap/>
        <w:overflowPunct/>
        <w:topLinePunct w:val="0"/>
        <w:bidi w:val="0"/>
        <w:adjustRightInd/>
        <w:snapToGrid/>
        <w:spacing w:line="600" w:lineRule="exact"/>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四、时间地点</w:t>
      </w:r>
      <w:r>
        <w:rPr>
          <w:rFonts w:hint="eastAsia" w:ascii="仿宋" w:hAnsi="仿宋" w:eastAsia="仿宋" w:cs="仿宋"/>
          <w:sz w:val="32"/>
          <w:szCs w:val="32"/>
          <w:lang w:val="en-US" w:eastAsia="zh-CN"/>
        </w:rPr>
        <w:t> </w:t>
      </w:r>
    </w:p>
    <w:p w14:paraId="64816486">
      <w:pPr>
        <w:keepNext w:val="0"/>
        <w:keepLines w:val="0"/>
        <w:pageBreakBefore w:val="0"/>
        <w:kinsoku/>
        <w:wordWrap/>
        <w:overflowPunct/>
        <w:topLinePunct w:val="0"/>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2025年07月</w:t>
      </w:r>
      <w:r>
        <w:rPr>
          <w:rFonts w:hint="eastAsia" w:cs="仿宋"/>
          <w:sz w:val="32"/>
          <w:szCs w:val="32"/>
          <w:lang w:val="en-US" w:eastAsia="zh-CN"/>
        </w:rPr>
        <w:t>24</w:t>
      </w:r>
      <w:r>
        <w:rPr>
          <w:rFonts w:hint="eastAsia" w:ascii="仿宋" w:hAnsi="仿宋" w:eastAsia="仿宋" w:cs="仿宋"/>
          <w:sz w:val="32"/>
          <w:szCs w:val="32"/>
          <w:lang w:val="en-US" w:eastAsia="zh-CN"/>
        </w:rPr>
        <w:t>日-</w:t>
      </w:r>
      <w:r>
        <w:rPr>
          <w:rFonts w:hint="eastAsia" w:cs="仿宋"/>
          <w:sz w:val="32"/>
          <w:szCs w:val="32"/>
          <w:lang w:val="en-US" w:eastAsia="zh-CN"/>
        </w:rPr>
        <w:t>27</w:t>
      </w:r>
      <w:r>
        <w:rPr>
          <w:rFonts w:hint="eastAsia" w:ascii="仿宋" w:hAnsi="仿宋" w:eastAsia="仿宋" w:cs="仿宋"/>
          <w:sz w:val="32"/>
          <w:szCs w:val="32"/>
          <w:lang w:val="en-US" w:eastAsia="zh-CN"/>
        </w:rPr>
        <w:t>日</w:t>
      </w:r>
      <w:r>
        <w:rPr>
          <w:rFonts w:hint="eastAsia" w:cs="仿宋"/>
          <w:sz w:val="32"/>
          <w:szCs w:val="32"/>
          <w:lang w:val="en-US" w:eastAsia="zh-CN"/>
        </w:rPr>
        <w:t xml:space="preserve"> </w:t>
      </w:r>
      <w:r>
        <w:rPr>
          <w:rFonts w:hint="eastAsia" w:ascii="仿宋" w:hAnsi="仿宋" w:eastAsia="仿宋" w:cs="仿宋"/>
          <w:sz w:val="32"/>
          <w:szCs w:val="32"/>
          <w:lang w:val="en-US" w:eastAsia="zh-CN"/>
        </w:rPr>
        <w:t>厦门市（</w:t>
      </w:r>
      <w:r>
        <w:rPr>
          <w:rFonts w:hint="eastAsia" w:cs="仿宋"/>
          <w:sz w:val="32"/>
          <w:szCs w:val="32"/>
          <w:lang w:val="en-US" w:eastAsia="zh-CN"/>
        </w:rPr>
        <w:t>24</w:t>
      </w:r>
      <w:r>
        <w:rPr>
          <w:rFonts w:hint="eastAsia" w:ascii="仿宋" w:hAnsi="仿宋" w:eastAsia="仿宋" w:cs="仿宋"/>
          <w:sz w:val="32"/>
          <w:szCs w:val="32"/>
          <w:lang w:val="en-US" w:eastAsia="zh-CN"/>
        </w:rPr>
        <w:t>日全天报到）</w:t>
      </w:r>
    </w:p>
    <w:p w14:paraId="76061635">
      <w:pPr>
        <w:keepNext w:val="0"/>
        <w:keepLines w:val="0"/>
        <w:pageBreakBefore w:val="0"/>
        <w:kinsoku/>
        <w:wordWrap/>
        <w:overflowPunct/>
        <w:topLinePunct w:val="0"/>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2025年08月</w:t>
      </w:r>
      <w:r>
        <w:rPr>
          <w:rFonts w:hint="eastAsia" w:cs="仿宋"/>
          <w:sz w:val="32"/>
          <w:szCs w:val="32"/>
          <w:lang w:val="en-US" w:eastAsia="zh-CN"/>
        </w:rPr>
        <w:t>21</w:t>
      </w:r>
      <w:r>
        <w:rPr>
          <w:rFonts w:hint="eastAsia" w:ascii="仿宋" w:hAnsi="仿宋" w:eastAsia="仿宋" w:cs="仿宋"/>
          <w:sz w:val="32"/>
          <w:szCs w:val="32"/>
          <w:lang w:val="en-US" w:eastAsia="zh-CN"/>
        </w:rPr>
        <w:t>日-</w:t>
      </w:r>
      <w:r>
        <w:rPr>
          <w:rFonts w:hint="eastAsia" w:cs="仿宋"/>
          <w:sz w:val="32"/>
          <w:szCs w:val="32"/>
          <w:lang w:val="en-US" w:eastAsia="zh-CN"/>
        </w:rPr>
        <w:t>24</w:t>
      </w:r>
      <w:r>
        <w:rPr>
          <w:rFonts w:hint="eastAsia" w:ascii="仿宋" w:hAnsi="仿宋" w:eastAsia="仿宋" w:cs="仿宋"/>
          <w:sz w:val="32"/>
          <w:szCs w:val="32"/>
          <w:lang w:val="en-US" w:eastAsia="zh-CN"/>
        </w:rPr>
        <w:t>日</w:t>
      </w:r>
      <w:r>
        <w:rPr>
          <w:rFonts w:hint="eastAsia" w:cs="仿宋"/>
          <w:sz w:val="32"/>
          <w:szCs w:val="32"/>
          <w:lang w:val="en-US" w:eastAsia="zh-CN"/>
        </w:rPr>
        <w:t xml:space="preserve"> </w:t>
      </w:r>
      <w:r>
        <w:rPr>
          <w:rFonts w:hint="eastAsia" w:ascii="仿宋" w:hAnsi="仿宋" w:eastAsia="仿宋" w:cs="仿宋"/>
          <w:sz w:val="32"/>
          <w:szCs w:val="32"/>
          <w:lang w:val="en-US" w:eastAsia="zh-CN"/>
        </w:rPr>
        <w:t>昆明市（</w:t>
      </w:r>
      <w:r>
        <w:rPr>
          <w:rFonts w:hint="eastAsia" w:cs="仿宋"/>
          <w:sz w:val="32"/>
          <w:szCs w:val="32"/>
          <w:lang w:val="en-US" w:eastAsia="zh-CN"/>
        </w:rPr>
        <w:t>21</w:t>
      </w:r>
      <w:r>
        <w:rPr>
          <w:rFonts w:hint="eastAsia" w:ascii="仿宋" w:hAnsi="仿宋" w:eastAsia="仿宋" w:cs="仿宋"/>
          <w:sz w:val="32"/>
          <w:szCs w:val="32"/>
          <w:lang w:val="en-US" w:eastAsia="zh-CN"/>
        </w:rPr>
        <w:t>日全天报到）</w:t>
      </w:r>
      <w:bookmarkStart w:id="11" w:name="_GoBack"/>
      <w:bookmarkEnd w:id="11"/>
    </w:p>
    <w:p w14:paraId="0C3680D4">
      <w:pPr>
        <w:keepNext w:val="0"/>
        <w:keepLines w:val="0"/>
        <w:pageBreakBefore w:val="0"/>
        <w:kinsoku/>
        <w:wordWrap/>
        <w:overflowPunct/>
        <w:topLinePunct w:val="0"/>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bookmarkStart w:id="10" w:name="_Hlk164674095"/>
      <w:r>
        <w:rPr>
          <w:rFonts w:hint="eastAsia" w:ascii="仿宋" w:hAnsi="仿宋" w:eastAsia="仿宋" w:cs="仿宋"/>
          <w:sz w:val="32"/>
          <w:szCs w:val="32"/>
        </w:rPr>
        <w:t>2025年</w:t>
      </w:r>
      <w:r>
        <w:rPr>
          <w:rFonts w:hint="eastAsia" w:ascii="仿宋" w:hAnsi="仿宋" w:eastAsia="仿宋" w:cs="仿宋"/>
          <w:sz w:val="32"/>
          <w:szCs w:val="32"/>
          <w:lang w:val="en-US" w:eastAsia="zh-CN"/>
        </w:rPr>
        <w:t>0</w:t>
      </w:r>
      <w:r>
        <w:rPr>
          <w:rFonts w:hint="eastAsia" w:cs="仿宋"/>
          <w:sz w:val="32"/>
          <w:szCs w:val="32"/>
          <w:lang w:val="en-US" w:eastAsia="zh-CN"/>
        </w:rPr>
        <w:t>9</w:t>
      </w:r>
      <w:r>
        <w:rPr>
          <w:rFonts w:hint="eastAsia" w:ascii="仿宋" w:hAnsi="仿宋" w:eastAsia="仿宋" w:cs="仿宋"/>
          <w:sz w:val="32"/>
          <w:szCs w:val="32"/>
        </w:rPr>
        <w:t>月</w:t>
      </w:r>
      <w:r>
        <w:rPr>
          <w:rFonts w:hint="eastAsia" w:cs="仿宋"/>
          <w:sz w:val="32"/>
          <w:szCs w:val="32"/>
          <w:lang w:val="en-US" w:eastAsia="zh-CN"/>
        </w:rPr>
        <w:t>18</w:t>
      </w:r>
      <w:r>
        <w:rPr>
          <w:rFonts w:hint="eastAsia" w:ascii="仿宋" w:hAnsi="仿宋" w:eastAsia="仿宋" w:cs="仿宋"/>
          <w:sz w:val="32"/>
          <w:szCs w:val="32"/>
        </w:rPr>
        <w:t>日-</w:t>
      </w:r>
      <w:r>
        <w:rPr>
          <w:rFonts w:hint="eastAsia" w:cs="仿宋"/>
          <w:sz w:val="32"/>
          <w:szCs w:val="32"/>
          <w:lang w:val="en-US" w:eastAsia="zh-CN"/>
        </w:rPr>
        <w:t>21</w:t>
      </w:r>
      <w:r>
        <w:rPr>
          <w:rFonts w:hint="eastAsia" w:ascii="仿宋" w:hAnsi="仿宋" w:eastAsia="仿宋" w:cs="仿宋"/>
          <w:sz w:val="32"/>
          <w:szCs w:val="32"/>
        </w:rPr>
        <w:t>日</w:t>
      </w:r>
      <w:r>
        <w:rPr>
          <w:rFonts w:hint="eastAsia" w:cs="仿宋"/>
          <w:sz w:val="32"/>
          <w:szCs w:val="32"/>
          <w:lang w:val="en-US" w:eastAsia="zh-CN"/>
        </w:rPr>
        <w:t xml:space="preserve"> 成都</w:t>
      </w:r>
      <w:r>
        <w:rPr>
          <w:rFonts w:hint="eastAsia" w:ascii="仿宋" w:hAnsi="仿宋" w:eastAsia="仿宋" w:cs="仿宋"/>
          <w:sz w:val="32"/>
          <w:szCs w:val="32"/>
        </w:rPr>
        <w:t>市（</w:t>
      </w:r>
      <w:r>
        <w:rPr>
          <w:rFonts w:hint="eastAsia" w:cs="仿宋"/>
          <w:sz w:val="32"/>
          <w:szCs w:val="32"/>
          <w:lang w:val="en-US" w:eastAsia="zh-CN"/>
        </w:rPr>
        <w:t>18</w:t>
      </w:r>
      <w:r>
        <w:rPr>
          <w:rFonts w:hint="eastAsia" w:ascii="仿宋" w:hAnsi="仿宋" w:eastAsia="仿宋" w:cs="仿宋"/>
          <w:sz w:val="32"/>
          <w:szCs w:val="32"/>
        </w:rPr>
        <w:t>日全天报到）</w:t>
      </w:r>
      <w:bookmarkEnd w:id="10"/>
    </w:p>
    <w:p w14:paraId="03750E33">
      <w:pPr>
        <w:keepNext w:val="0"/>
        <w:keepLines w:val="0"/>
        <w:pageBreakBefore w:val="0"/>
        <w:kinsoku/>
        <w:wordWrap/>
        <w:overflowPunct/>
        <w:topLinePunct w:val="0"/>
        <w:bidi w:val="0"/>
        <w:adjustRightInd/>
        <w:snapToGrid/>
        <w:spacing w:line="600" w:lineRule="exact"/>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五、培训费用</w:t>
      </w:r>
    </w:p>
    <w:p w14:paraId="3A3BEC75">
      <w:pPr>
        <w:keepNext w:val="0"/>
        <w:keepLines w:val="0"/>
        <w:pageBreakBefore w:val="0"/>
        <w:widowControl w:val="0"/>
        <w:numPr>
          <w:ilvl w:val="0"/>
          <w:numId w:val="21"/>
        </w:numPr>
        <w:kinsoku/>
        <w:wordWrap/>
        <w:overflowPunct/>
        <w:topLinePunct w:val="0"/>
        <w:autoSpaceDE/>
        <w:autoSpaceDN/>
        <w:bidi w:val="0"/>
        <w:adjustRightInd/>
        <w:snapToGrid/>
        <w:spacing w:line="600" w:lineRule="exact"/>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培训费：3200元/人/年（含个人会员、培训、资料、场地、讲师；全年电子课件，以上不含200元/人/期复训费）。</w:t>
      </w:r>
    </w:p>
    <w:p w14:paraId="27EB0E3D">
      <w:pPr>
        <w:keepNext w:val="0"/>
        <w:keepLines w:val="0"/>
        <w:pageBreakBefore w:val="0"/>
        <w:widowControl w:val="0"/>
        <w:numPr>
          <w:ilvl w:val="0"/>
          <w:numId w:val="21"/>
        </w:numPr>
        <w:kinsoku/>
        <w:wordWrap/>
        <w:overflowPunct/>
        <w:topLinePunct w:val="0"/>
        <w:autoSpaceDE/>
        <w:autoSpaceDN/>
        <w:bidi w:val="0"/>
        <w:adjustRightInd/>
        <w:snapToGrid/>
        <w:spacing w:line="600" w:lineRule="exact"/>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企业会员：10000元/家/年（含3个会员名额；超出3人每人每期按照培训费3折优惠收取、企业会员期内不限人数，所有参培人员均享受会员权益；全年电子课件、资料、场地、讲师；以上不含200元/人/期复训费）。</w:t>
      </w:r>
    </w:p>
    <w:p w14:paraId="074C6732">
      <w:pPr>
        <w:keepNext w:val="0"/>
        <w:keepLines w:val="0"/>
        <w:pageBreakBefore w:val="0"/>
        <w:widowControl w:val="0"/>
        <w:numPr>
          <w:ilvl w:val="0"/>
          <w:numId w:val="21"/>
        </w:numPr>
        <w:kinsoku/>
        <w:wordWrap/>
        <w:overflowPunct/>
        <w:topLinePunct w:val="0"/>
        <w:autoSpaceDE/>
        <w:autoSpaceDN/>
        <w:bidi w:val="0"/>
        <w:adjustRightInd/>
        <w:snapToGrid/>
        <w:spacing w:line="600" w:lineRule="exact"/>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现场食宿费用自理（中餐费用180元，住宿费用按照每期报到通知规定标准收取，可自行安排）。</w:t>
      </w:r>
    </w:p>
    <w:p w14:paraId="7F8DFA72">
      <w:pPr>
        <w:keepNext w:val="0"/>
        <w:keepLines w:val="0"/>
        <w:pageBreakBefore w:val="0"/>
        <w:widowControl w:val="0"/>
        <w:numPr>
          <w:ilvl w:val="0"/>
          <w:numId w:val="21"/>
        </w:numPr>
        <w:kinsoku/>
        <w:wordWrap/>
        <w:overflowPunct/>
        <w:topLinePunct w:val="0"/>
        <w:autoSpaceDE/>
        <w:autoSpaceDN/>
        <w:bidi w:val="0"/>
        <w:adjustRightInd/>
        <w:snapToGrid/>
        <w:spacing w:line="600" w:lineRule="exact"/>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岗位证书：所有</w:t>
      </w:r>
      <w:r>
        <w:rPr>
          <w:rFonts w:hint="eastAsia" w:ascii="仿宋" w:hAnsi="仿宋" w:eastAsia="仿宋" w:cs="仿宋"/>
          <w:kern w:val="2"/>
          <w:sz w:val="32"/>
          <w:szCs w:val="32"/>
          <w:lang w:val="en-US" w:eastAsia="zh-CN" w:bidi="ar-SA"/>
          <w14:ligatures w14:val="standardContextual"/>
        </w:rPr>
        <w:t>学</w:t>
      </w:r>
      <w:r>
        <w:rPr>
          <w:rFonts w:hint="eastAsia" w:ascii="仿宋" w:hAnsi="仿宋" w:eastAsia="仿宋" w:cs="仿宋"/>
          <w:kern w:val="2"/>
          <w:sz w:val="32"/>
          <w:szCs w:val="32"/>
          <w:lang w:val="en-US" w:bidi="ar-SA"/>
          <w14:ligatures w14:val="standardContextual"/>
        </w:rPr>
        <w:t>员可申请《投资建设项目管理师》、《城市更新项目经理》、《低空经济运营管理师</w:t>
      </w:r>
      <w:r>
        <w:rPr>
          <w:rFonts w:hint="eastAsia" w:ascii="仿宋" w:hAnsi="仿宋" w:eastAsia="仿宋" w:cs="仿宋"/>
          <w:kern w:val="2"/>
          <w:sz w:val="32"/>
          <w:szCs w:val="32"/>
          <w:lang w:val="en-US" w:eastAsia="zh-CN" w:bidi="ar-SA"/>
          <w14:ligatures w14:val="standardContextual"/>
        </w:rPr>
        <w:t>》</w:t>
      </w:r>
      <w:r>
        <w:rPr>
          <w:rFonts w:hint="eastAsia" w:ascii="仿宋" w:hAnsi="仿宋" w:eastAsia="仿宋" w:cs="仿宋"/>
          <w:kern w:val="2"/>
          <w:sz w:val="32"/>
          <w:szCs w:val="32"/>
          <w:lang w:val="en-US" w:bidi="ar-SA"/>
          <w14:ligatures w14:val="standardContextual"/>
        </w:rPr>
        <w:t>（高级）</w:t>
      </w:r>
      <w:r>
        <w:rPr>
          <w:rFonts w:hint="eastAsia" w:ascii="仿宋" w:hAnsi="仿宋" w:eastAsia="仿宋" w:cs="仿宋"/>
          <w:kern w:val="2"/>
          <w:sz w:val="32"/>
          <w:szCs w:val="32"/>
          <w:lang w:val="en-US" w:eastAsia="zh-CN" w:bidi="ar-SA"/>
          <w14:ligatures w14:val="standardContextual"/>
        </w:rPr>
        <w:t>、《</w:t>
      </w:r>
      <w:r>
        <w:rPr>
          <w:rFonts w:hint="eastAsia" w:ascii="仿宋" w:hAnsi="仿宋" w:eastAsia="仿宋" w:cs="仿宋"/>
          <w:kern w:val="2"/>
          <w:sz w:val="32"/>
          <w:szCs w:val="32"/>
          <w:lang w:val="en-US" w:bidi="ar-SA"/>
          <w14:ligatures w14:val="standardContextual"/>
        </w:rPr>
        <w:t>低空经济规划师</w:t>
      </w:r>
      <w:r>
        <w:rPr>
          <w:rFonts w:hint="eastAsia" w:ascii="仿宋" w:hAnsi="仿宋" w:eastAsia="仿宋" w:cs="仿宋"/>
          <w:kern w:val="2"/>
          <w:sz w:val="32"/>
          <w:szCs w:val="32"/>
          <w:lang w:val="en-US" w:eastAsia="zh-CN" w:bidi="ar-SA"/>
          <w14:ligatures w14:val="standardContextual"/>
        </w:rPr>
        <w:t>》</w:t>
      </w:r>
      <w:r>
        <w:rPr>
          <w:rFonts w:hint="eastAsia" w:ascii="仿宋" w:hAnsi="仿宋" w:eastAsia="仿宋" w:cs="仿宋"/>
          <w:kern w:val="2"/>
          <w:sz w:val="32"/>
          <w:szCs w:val="32"/>
          <w:lang w:val="en-US" w:bidi="ar-SA"/>
          <w14:ligatures w14:val="standardContextual"/>
        </w:rPr>
        <w:t>（高级）</w:t>
      </w:r>
      <w:r>
        <w:rPr>
          <w:rFonts w:hint="eastAsia" w:ascii="仿宋" w:hAnsi="仿宋" w:eastAsia="仿宋" w:cs="仿宋"/>
          <w:kern w:val="2"/>
          <w:sz w:val="32"/>
          <w:szCs w:val="32"/>
          <w:lang w:val="en-US" w:eastAsia="zh-CN" w:bidi="ar-SA"/>
          <w14:ligatures w14:val="standardContextual"/>
        </w:rPr>
        <w:t>、《</w:t>
      </w:r>
      <w:r>
        <w:rPr>
          <w:rFonts w:hint="eastAsia" w:ascii="仿宋" w:hAnsi="仿宋" w:eastAsia="仿宋" w:cs="仿宋"/>
          <w:kern w:val="2"/>
          <w:sz w:val="32"/>
          <w:szCs w:val="32"/>
          <w:lang w:val="en-US" w:bidi="ar-SA"/>
          <w14:ligatures w14:val="standardContextual"/>
        </w:rPr>
        <w:t>低空经济项目经理》（高级）等</w:t>
      </w:r>
      <w:r>
        <w:rPr>
          <w:rFonts w:hint="eastAsia" w:ascii="仿宋" w:hAnsi="仿宋" w:eastAsia="仿宋" w:cs="仿宋"/>
          <w:kern w:val="2"/>
          <w:sz w:val="32"/>
          <w:szCs w:val="32"/>
          <w:lang w:val="en-US" w:eastAsia="zh-CN" w:bidi="ar-SA"/>
          <w14:ligatures w14:val="standardContextual"/>
        </w:rPr>
        <w:t>招投标</w:t>
      </w:r>
      <w:r>
        <w:rPr>
          <w:rFonts w:hint="eastAsia" w:ascii="仿宋" w:hAnsi="仿宋" w:eastAsia="仿宋" w:cs="仿宋"/>
          <w:kern w:val="2"/>
          <w:sz w:val="32"/>
          <w:szCs w:val="32"/>
          <w:lang w:val="en-US" w:bidi="ar-SA"/>
          <w14:ligatures w14:val="standardContextual"/>
        </w:rPr>
        <w:t>岗位能力证书；费用：1000元/本；需提供材料：2寸照电子照片（蓝底免冠彩照）、身份证复印件、学历证书复印件各一份（备案用）。</w:t>
      </w:r>
    </w:p>
    <w:p w14:paraId="11294D18">
      <w:pPr>
        <w:keepNext w:val="0"/>
        <w:keepLines w:val="0"/>
        <w:pageBreakBefore w:val="0"/>
        <w:widowControl w:val="0"/>
        <w:numPr>
          <w:ilvl w:val="0"/>
          <w:numId w:val="21"/>
        </w:numPr>
        <w:kinsoku/>
        <w:wordWrap/>
        <w:overflowPunct/>
        <w:topLinePunct w:val="0"/>
        <w:autoSpaceDE/>
        <w:autoSpaceDN/>
        <w:bidi w:val="0"/>
        <w:adjustRightInd/>
        <w:snapToGrid/>
        <w:spacing w:line="600" w:lineRule="exact"/>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企业资质：3500元/3年/单位；《低空经济咨询服务企业资质等级证书》（一级；证书和铜匾），《数据资源咨询服务企业资质等级证书》（一级；证书和铜匾）；中国招标投标服务资质公示平台、中国招标投标网（工信部招标采购中心公示平台）公示查询。</w:t>
      </w:r>
    </w:p>
    <w:p w14:paraId="4D8C5AF3">
      <w:pPr>
        <w:keepNext w:val="0"/>
        <w:keepLines w:val="0"/>
        <w:pageBreakBefore w:val="0"/>
        <w:kinsoku/>
        <w:wordWrap/>
        <w:overflowPunct/>
        <w:topLinePunct w:val="0"/>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六、联系方式</w:t>
      </w:r>
    </w:p>
    <w:p w14:paraId="26258A8A">
      <w:pPr>
        <w:keepNext w:val="0"/>
        <w:keepLines w:val="0"/>
        <w:pageBreakBefore w:val="0"/>
        <w:widowControl w:val="0"/>
        <w:kinsoku/>
        <w:wordWrap/>
        <w:overflowPunct/>
        <w:topLinePunct w:val="0"/>
        <w:autoSpaceDE/>
        <w:autoSpaceDN/>
        <w:bidi w:val="0"/>
        <w:adjustRightInd/>
        <w:snapToGrid/>
        <w:spacing w:line="600" w:lineRule="exact"/>
        <w:ind w:left="442"/>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联系人：</w:t>
      </w:r>
      <w:r>
        <w:rPr>
          <w:rFonts w:hint="eastAsia" w:cs="仿宋"/>
          <w:kern w:val="2"/>
          <w:sz w:val="32"/>
          <w:szCs w:val="32"/>
          <w:lang w:val="en-US" w:eastAsia="zh-CN" w:bidi="ar-SA"/>
          <w14:ligatures w14:val="standardContextual"/>
        </w:rPr>
        <w:t>王强松</w:t>
      </w:r>
      <w:r>
        <w:rPr>
          <w:rFonts w:hint="eastAsia" w:ascii="仿宋" w:hAnsi="仿宋" w:eastAsia="仿宋" w:cs="仿宋"/>
          <w:kern w:val="2"/>
          <w:sz w:val="32"/>
          <w:szCs w:val="32"/>
          <w:lang w:val="en-US" w:bidi="ar-SA"/>
          <w14:ligatures w14:val="standardContextual"/>
        </w:rPr>
        <w:t xml:space="preserve">   手   机：</w:t>
      </w:r>
      <w:r>
        <w:rPr>
          <w:rFonts w:hint="eastAsia" w:cs="仿宋"/>
          <w:kern w:val="2"/>
          <w:sz w:val="32"/>
          <w:szCs w:val="32"/>
          <w:lang w:val="en-US" w:eastAsia="zh-CN" w:bidi="ar-SA"/>
          <w14:ligatures w14:val="standardContextual"/>
        </w:rPr>
        <w:t>13522661366</w:t>
      </w:r>
      <w:r>
        <w:rPr>
          <w:rFonts w:hint="eastAsia" w:ascii="仿宋" w:hAnsi="仿宋" w:eastAsia="仿宋" w:cs="仿宋"/>
          <w:kern w:val="2"/>
          <w:sz w:val="32"/>
          <w:szCs w:val="32"/>
          <w:lang w:val="en-US" w:bidi="ar-SA"/>
          <w14:ligatures w14:val="standardContextual"/>
        </w:rPr>
        <w:t xml:space="preserve"> （同微信）</w:t>
      </w:r>
    </w:p>
    <w:p w14:paraId="4467BE54">
      <w:pPr>
        <w:keepNext w:val="0"/>
        <w:keepLines w:val="0"/>
        <w:pageBreakBefore w:val="0"/>
        <w:widowControl w:val="0"/>
        <w:kinsoku/>
        <w:wordWrap/>
        <w:overflowPunct/>
        <w:topLinePunct w:val="0"/>
        <w:autoSpaceDE/>
        <w:autoSpaceDN/>
        <w:bidi w:val="0"/>
        <w:adjustRightInd/>
        <w:snapToGrid/>
        <w:spacing w:line="600" w:lineRule="exact"/>
        <w:ind w:left="442"/>
        <w:jc w:val="both"/>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drawing>
          <wp:anchor distT="0" distB="0" distL="114300" distR="114300" simplePos="0" relativeHeight="251660288" behindDoc="1" locked="0" layoutInCell="1" allowOverlap="1">
            <wp:simplePos x="0" y="0"/>
            <wp:positionH relativeFrom="margin">
              <wp:posOffset>4351020</wp:posOffset>
            </wp:positionH>
            <wp:positionV relativeFrom="paragraph">
              <wp:posOffset>34925</wp:posOffset>
            </wp:positionV>
            <wp:extent cx="1771650" cy="1724025"/>
            <wp:effectExtent l="0" t="0" r="0" b="9525"/>
            <wp:wrapNone/>
            <wp:docPr id="28" name="图片 2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4" descr="图片1"/>
                    <pic:cNvPicPr>
                      <a:picLocks noChangeAspect="1" noChangeArrowheads="1"/>
                    </pic:cNvPicPr>
                  </pic:nvPicPr>
                  <pic:blipFill>
                    <a:blip r:embed="rId5" cstate="print"/>
                    <a:srcRect/>
                    <a:stretch>
                      <a:fillRect/>
                    </a:stretch>
                  </pic:blipFill>
                  <pic:spPr>
                    <a:xfrm>
                      <a:off x="0" y="0"/>
                      <a:ext cx="1771650" cy="1724025"/>
                    </a:xfrm>
                    <a:prstGeom prst="rect">
                      <a:avLst/>
                    </a:prstGeom>
                    <a:noFill/>
                    <a:ln w="9525">
                      <a:noFill/>
                      <a:miter lim="800000"/>
                      <a:headEnd/>
                      <a:tailEnd/>
                    </a:ln>
                  </pic:spPr>
                </pic:pic>
              </a:graphicData>
            </a:graphic>
          </wp:anchor>
        </w:drawing>
      </w:r>
    </w:p>
    <w:p w14:paraId="48C1B726">
      <w:pPr>
        <w:keepNext w:val="0"/>
        <w:keepLines w:val="0"/>
        <w:pageBreakBefore w:val="0"/>
        <w:widowControl w:val="0"/>
        <w:kinsoku/>
        <w:wordWrap/>
        <w:overflowPunct/>
        <w:topLinePunct w:val="0"/>
        <w:autoSpaceDE/>
        <w:autoSpaceDN/>
        <w:bidi w:val="0"/>
        <w:adjustRightInd/>
        <w:snapToGrid/>
        <w:spacing w:line="600" w:lineRule="exact"/>
        <w:ind w:left="442"/>
        <w:jc w:val="right"/>
        <w:textAlignment w:val="auto"/>
        <w:rPr>
          <w:rFonts w:hint="eastAsia" w:ascii="仿宋" w:hAnsi="仿宋" w:eastAsia="仿宋" w:cs="仿宋"/>
          <w:kern w:val="2"/>
          <w:sz w:val="32"/>
          <w:szCs w:val="32"/>
          <w:lang w:val="en-US" w:bidi="ar-SA"/>
          <w14:ligatures w14:val="standardContextual"/>
        </w:rPr>
      </w:pPr>
      <w:r>
        <w:rPr>
          <w:rFonts w:hint="eastAsia" w:ascii="仿宋" w:hAnsi="仿宋" w:eastAsia="仿宋" w:cs="仿宋"/>
          <w:kern w:val="2"/>
          <w:sz w:val="32"/>
          <w:szCs w:val="32"/>
          <w:lang w:val="en-US" w:bidi="ar-SA"/>
          <w14:ligatures w14:val="standardContextual"/>
        </w:rPr>
        <w:t>中至远大讲堂</w:t>
      </w:r>
    </w:p>
    <w:p w14:paraId="62B4FCF3">
      <w:pPr>
        <w:keepNext w:val="0"/>
        <w:keepLines w:val="0"/>
        <w:pageBreakBefore w:val="0"/>
        <w:widowControl w:val="0"/>
        <w:kinsoku/>
        <w:wordWrap/>
        <w:overflowPunct/>
        <w:topLinePunct w:val="0"/>
        <w:autoSpaceDE/>
        <w:autoSpaceDN/>
        <w:bidi w:val="0"/>
        <w:adjustRightInd/>
        <w:snapToGrid/>
        <w:spacing w:after="0" w:afterLines="1500" w:line="600" w:lineRule="exact"/>
        <w:ind w:left="442"/>
        <w:jc w:val="right"/>
        <w:textAlignment w:val="auto"/>
        <w:rPr>
          <w:rFonts w:hint="eastAsia" w:ascii="仿宋" w:hAnsi="仿宋" w:eastAsia="仿宋" w:cs="仿宋"/>
          <w:sz w:val="32"/>
          <w:szCs w:val="32"/>
        </w:rPr>
      </w:pPr>
      <w:r>
        <w:rPr>
          <w:rFonts w:hint="eastAsia" w:cs="仿宋"/>
          <w:kern w:val="2"/>
          <w:sz w:val="32"/>
          <w:szCs w:val="32"/>
          <w:lang w:val="en-US" w:eastAsia="zh-CN" w:bidi="ar-SA"/>
          <w14:ligatures w14:val="standardContextual"/>
        </w:rPr>
        <w:t xml:space="preserve"> </w:t>
      </w:r>
      <w:r>
        <w:rPr>
          <w:rFonts w:hint="eastAsia" w:ascii="仿宋" w:hAnsi="仿宋" w:eastAsia="仿宋" w:cs="仿宋"/>
          <w:kern w:val="2"/>
          <w:sz w:val="32"/>
          <w:szCs w:val="32"/>
          <w:lang w:val="en-US" w:bidi="ar-SA"/>
          <w14:ligatures w14:val="standardContextual"/>
        </w:rPr>
        <w:t>二〇二五年</w:t>
      </w:r>
      <w:r>
        <w:rPr>
          <w:rFonts w:hint="eastAsia" w:ascii="仿宋" w:hAnsi="仿宋" w:eastAsia="仿宋" w:cs="仿宋"/>
          <w:kern w:val="2"/>
          <w:sz w:val="32"/>
          <w:szCs w:val="32"/>
          <w:lang w:val="en-US" w:eastAsia="zh-CN" w:bidi="ar-SA"/>
          <w14:ligatures w14:val="standardContextual"/>
        </w:rPr>
        <w:t>六</w:t>
      </w:r>
      <w:r>
        <w:rPr>
          <w:rFonts w:hint="eastAsia" w:ascii="仿宋" w:hAnsi="仿宋" w:eastAsia="仿宋" w:cs="仿宋"/>
          <w:kern w:val="2"/>
          <w:sz w:val="32"/>
          <w:szCs w:val="32"/>
          <w:lang w:val="en-US" w:bidi="ar-SA"/>
          <w14:ligatures w14:val="standardContextual"/>
        </w:rPr>
        <w:t>月</w:t>
      </w:r>
      <w:r>
        <w:rPr>
          <w:rFonts w:hint="eastAsia" w:ascii="仿宋" w:hAnsi="仿宋" w:eastAsia="仿宋" w:cs="仿宋"/>
          <w:kern w:val="2"/>
          <w:sz w:val="32"/>
          <w:szCs w:val="32"/>
          <w:lang w:val="en-US" w:eastAsia="zh-CN" w:bidi="ar-SA"/>
          <w14:ligatures w14:val="standardContextual"/>
        </w:rPr>
        <w:t>十</w:t>
      </w:r>
      <w:r>
        <w:rPr>
          <w:rFonts w:hint="eastAsia" w:ascii="仿宋" w:hAnsi="仿宋" w:eastAsia="仿宋" w:cs="仿宋"/>
          <w:kern w:val="2"/>
          <w:sz w:val="32"/>
          <w:szCs w:val="32"/>
          <w:lang w:val="en-US" w:bidi="ar-SA"/>
          <w14:ligatures w14:val="standardContextual"/>
        </w:rPr>
        <w:t>日</w:t>
      </w:r>
    </w:p>
    <w:p w14:paraId="677F4878">
      <w:pPr>
        <w:pStyle w:val="3"/>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rPr>
      </w:pPr>
      <w:r>
        <w:rPr>
          <w:rFonts w:hint="eastAsia"/>
          <w:lang w:val="en-US" w:eastAsia="zh-CN"/>
        </w:rPr>
        <w:t>2025新形势下</w:t>
      </w:r>
      <w:r>
        <w:rPr>
          <w:rFonts w:hint="eastAsia"/>
          <w:lang w:eastAsia="zh-CN"/>
        </w:rPr>
        <w:t>“</w:t>
      </w:r>
      <w:r>
        <w:rPr>
          <w:rFonts w:hint="eastAsia"/>
          <w:lang w:val="en-US" w:eastAsia="zh-CN"/>
        </w:rPr>
        <w:t>两新”“两重”项目</w:t>
      </w:r>
      <w:r>
        <w:rPr>
          <w:rFonts w:hint="eastAsia"/>
        </w:rPr>
        <w:t>投融资谋划</w:t>
      </w:r>
      <w:r>
        <w:rPr>
          <w:rFonts w:hint="eastAsia"/>
          <w:lang w:val="en-US" w:eastAsia="zh-CN"/>
        </w:rPr>
        <w:t>及三类</w:t>
      </w:r>
      <w:r>
        <w:rPr>
          <w:rFonts w:hint="eastAsia"/>
        </w:rPr>
        <w:t>资金</w:t>
      </w:r>
      <w:r>
        <w:rPr>
          <w:rFonts w:hint="eastAsia"/>
          <w:lang w:val="en-US" w:eastAsia="zh-CN"/>
        </w:rPr>
        <w:t>申请和</w:t>
      </w:r>
      <w:r>
        <w:rPr>
          <w:rFonts w:hint="eastAsia"/>
        </w:rPr>
        <w:t>审计</w:t>
      </w:r>
      <w:r>
        <w:rPr>
          <w:rFonts w:hint="eastAsia"/>
          <w:lang w:val="en-US" w:eastAsia="zh-CN"/>
        </w:rPr>
        <w:t>风险防控、城市更新和低空经济专题</w:t>
      </w:r>
      <w:r>
        <w:rPr>
          <w:rFonts w:hint="eastAsia"/>
        </w:rPr>
        <w:t>培训班回执表</w:t>
      </w:r>
    </w:p>
    <w:tbl>
      <w:tblPr>
        <w:tblStyle w:val="10"/>
        <w:tblpPr w:leftFromText="180" w:rightFromText="180" w:vertAnchor="page" w:horzAnchor="page" w:tblpX="1338" w:tblpY="3156"/>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848"/>
        <w:gridCol w:w="1281"/>
        <w:gridCol w:w="1982"/>
        <w:gridCol w:w="1309"/>
        <w:gridCol w:w="678"/>
        <w:gridCol w:w="31"/>
        <w:gridCol w:w="1955"/>
      </w:tblGrid>
      <w:tr w14:paraId="7DB5E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3" w:type="dxa"/>
            <w:vAlign w:val="center"/>
          </w:tcPr>
          <w:p w14:paraId="61805E2D">
            <w:pPr>
              <w:pStyle w:val="3"/>
              <w:ind w:left="0" w:leftChars="0" w:firstLine="0" w:firstLineChars="0"/>
              <w:jc w:val="center"/>
              <w:rPr>
                <w:rFonts w:hint="eastAsia" w:ascii="仿宋_GB2312" w:eastAsia="仿宋_GB2312"/>
                <w:sz w:val="24"/>
              </w:rPr>
            </w:pPr>
            <w:r>
              <w:rPr>
                <w:rFonts w:ascii="仿宋_GB2312" w:eastAsia="仿宋_GB2312"/>
                <w:sz w:val="24"/>
              </w:rPr>
              <w:t>单位名称</w:t>
            </w:r>
          </w:p>
        </w:tc>
        <w:tc>
          <w:tcPr>
            <w:tcW w:w="5420" w:type="dxa"/>
            <w:gridSpan w:val="4"/>
            <w:vAlign w:val="center"/>
          </w:tcPr>
          <w:p w14:paraId="4B9E67C7">
            <w:pPr>
              <w:spacing w:line="360" w:lineRule="exact"/>
              <w:ind w:right="-154" w:rightChars="-70"/>
              <w:jc w:val="center"/>
              <w:rPr>
                <w:rFonts w:hint="eastAsia" w:ascii="仿宋_GB2312" w:eastAsia="仿宋_GB2312"/>
                <w:sz w:val="24"/>
              </w:rPr>
            </w:pPr>
          </w:p>
        </w:tc>
        <w:tc>
          <w:tcPr>
            <w:tcW w:w="709" w:type="dxa"/>
            <w:gridSpan w:val="2"/>
            <w:vAlign w:val="center"/>
          </w:tcPr>
          <w:p w14:paraId="0B1A1AC3">
            <w:pPr>
              <w:spacing w:line="360" w:lineRule="exact"/>
              <w:ind w:right="-154" w:rightChars="-70"/>
              <w:jc w:val="center"/>
              <w:rPr>
                <w:rFonts w:hint="eastAsia" w:ascii="仿宋_GB2312" w:eastAsia="仿宋_GB2312"/>
                <w:sz w:val="24"/>
              </w:rPr>
            </w:pPr>
            <w:r>
              <w:rPr>
                <w:rFonts w:ascii="仿宋_GB2312" w:eastAsia="仿宋_GB2312"/>
                <w:sz w:val="24"/>
              </w:rPr>
              <w:t>邮编</w:t>
            </w:r>
          </w:p>
        </w:tc>
        <w:tc>
          <w:tcPr>
            <w:tcW w:w="1955" w:type="dxa"/>
            <w:vAlign w:val="center"/>
          </w:tcPr>
          <w:p w14:paraId="750A289B">
            <w:pPr>
              <w:spacing w:line="360" w:lineRule="exact"/>
              <w:ind w:right="-154" w:rightChars="-70" w:firstLine="960"/>
              <w:jc w:val="center"/>
              <w:rPr>
                <w:rFonts w:hint="eastAsia" w:ascii="仿宋_GB2312" w:eastAsia="仿宋_GB2312"/>
                <w:sz w:val="24"/>
              </w:rPr>
            </w:pPr>
          </w:p>
        </w:tc>
      </w:tr>
      <w:tr w14:paraId="2CFE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3" w:type="dxa"/>
            <w:vAlign w:val="center"/>
          </w:tcPr>
          <w:p w14:paraId="701A3AF6">
            <w:pPr>
              <w:spacing w:line="360" w:lineRule="exact"/>
              <w:ind w:right="-154" w:rightChars="-70"/>
              <w:jc w:val="center"/>
              <w:rPr>
                <w:rFonts w:hint="eastAsia" w:ascii="仿宋_GB2312" w:eastAsia="仿宋_GB2312"/>
                <w:sz w:val="24"/>
              </w:rPr>
            </w:pPr>
            <w:r>
              <w:rPr>
                <w:rFonts w:ascii="仿宋_GB2312" w:eastAsia="仿宋_GB2312"/>
                <w:sz w:val="24"/>
              </w:rPr>
              <w:t>单位地址</w:t>
            </w:r>
          </w:p>
        </w:tc>
        <w:tc>
          <w:tcPr>
            <w:tcW w:w="8084" w:type="dxa"/>
            <w:gridSpan w:val="7"/>
            <w:vAlign w:val="center"/>
          </w:tcPr>
          <w:p w14:paraId="0E82E4A3">
            <w:pPr>
              <w:spacing w:line="360" w:lineRule="exact"/>
              <w:ind w:right="-154" w:rightChars="-70" w:firstLine="960"/>
              <w:jc w:val="center"/>
              <w:rPr>
                <w:rFonts w:hint="eastAsia" w:ascii="仿宋_GB2312" w:eastAsia="仿宋_GB2312"/>
                <w:sz w:val="24"/>
              </w:rPr>
            </w:pPr>
          </w:p>
        </w:tc>
      </w:tr>
      <w:tr w14:paraId="3AEF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3" w:type="dxa"/>
            <w:vAlign w:val="center"/>
          </w:tcPr>
          <w:p w14:paraId="64788BDD">
            <w:pPr>
              <w:spacing w:line="360" w:lineRule="exact"/>
              <w:ind w:right="-154" w:rightChars="-70"/>
              <w:jc w:val="center"/>
              <w:rPr>
                <w:rFonts w:hint="eastAsia" w:ascii="仿宋_GB2312" w:eastAsia="仿宋_GB2312"/>
                <w:sz w:val="24"/>
              </w:rPr>
            </w:pPr>
            <w:r>
              <w:rPr>
                <w:rFonts w:ascii="仿宋_GB2312" w:eastAsia="仿宋_GB2312"/>
                <w:sz w:val="24"/>
              </w:rPr>
              <w:t>参培人员</w:t>
            </w:r>
          </w:p>
        </w:tc>
        <w:tc>
          <w:tcPr>
            <w:tcW w:w="848" w:type="dxa"/>
            <w:vAlign w:val="center"/>
          </w:tcPr>
          <w:p w14:paraId="1012271B">
            <w:pPr>
              <w:spacing w:line="360" w:lineRule="exact"/>
              <w:ind w:right="-154" w:rightChars="-70"/>
              <w:jc w:val="center"/>
              <w:rPr>
                <w:rFonts w:hint="eastAsia" w:ascii="仿宋_GB2312" w:eastAsia="仿宋_GB2312"/>
                <w:sz w:val="24"/>
              </w:rPr>
            </w:pPr>
            <w:r>
              <w:rPr>
                <w:rFonts w:ascii="仿宋_GB2312" w:eastAsia="仿宋_GB2312"/>
                <w:sz w:val="24"/>
              </w:rPr>
              <w:t>性别</w:t>
            </w:r>
          </w:p>
        </w:tc>
        <w:tc>
          <w:tcPr>
            <w:tcW w:w="1281" w:type="dxa"/>
            <w:vAlign w:val="center"/>
          </w:tcPr>
          <w:p w14:paraId="6631F3AA">
            <w:pPr>
              <w:spacing w:line="360" w:lineRule="exact"/>
              <w:ind w:right="-154" w:rightChars="-70"/>
              <w:jc w:val="center"/>
              <w:rPr>
                <w:rFonts w:hint="eastAsia" w:ascii="仿宋_GB2312" w:eastAsia="仿宋_GB2312"/>
                <w:sz w:val="24"/>
              </w:rPr>
            </w:pPr>
            <w:r>
              <w:rPr>
                <w:rFonts w:ascii="仿宋_GB2312" w:eastAsia="仿宋_GB2312"/>
                <w:sz w:val="24"/>
              </w:rPr>
              <w:t>职务</w:t>
            </w:r>
          </w:p>
        </w:tc>
        <w:tc>
          <w:tcPr>
            <w:tcW w:w="1982" w:type="dxa"/>
            <w:vAlign w:val="center"/>
          </w:tcPr>
          <w:p w14:paraId="0F18DAB5">
            <w:pPr>
              <w:spacing w:line="360" w:lineRule="exact"/>
              <w:ind w:right="-154" w:rightChars="-70"/>
              <w:jc w:val="center"/>
              <w:rPr>
                <w:rFonts w:hint="eastAsia" w:ascii="仿宋_GB2312" w:eastAsia="仿宋_GB2312"/>
                <w:sz w:val="24"/>
              </w:rPr>
            </w:pPr>
            <w:r>
              <w:rPr>
                <w:rFonts w:ascii="仿宋_GB2312" w:eastAsia="仿宋_GB2312"/>
                <w:sz w:val="24"/>
              </w:rPr>
              <w:t>电话</w:t>
            </w:r>
          </w:p>
        </w:tc>
        <w:tc>
          <w:tcPr>
            <w:tcW w:w="1987" w:type="dxa"/>
            <w:gridSpan w:val="2"/>
            <w:vAlign w:val="center"/>
          </w:tcPr>
          <w:p w14:paraId="5680216A">
            <w:pPr>
              <w:spacing w:line="360" w:lineRule="exact"/>
              <w:ind w:right="-154" w:rightChars="-70"/>
              <w:jc w:val="center"/>
              <w:rPr>
                <w:rFonts w:hint="eastAsia" w:ascii="仿宋_GB2312" w:eastAsia="仿宋_GB2312"/>
                <w:sz w:val="24"/>
              </w:rPr>
            </w:pPr>
            <w:r>
              <w:rPr>
                <w:rFonts w:ascii="仿宋_GB2312" w:eastAsia="仿宋_GB2312"/>
                <w:sz w:val="24"/>
              </w:rPr>
              <w:t>手机</w:t>
            </w:r>
          </w:p>
        </w:tc>
        <w:tc>
          <w:tcPr>
            <w:tcW w:w="1986" w:type="dxa"/>
            <w:gridSpan w:val="2"/>
            <w:vAlign w:val="center"/>
          </w:tcPr>
          <w:p w14:paraId="3697B1E5">
            <w:pPr>
              <w:spacing w:line="360" w:lineRule="exact"/>
              <w:ind w:right="-154" w:rightChars="-70"/>
              <w:jc w:val="center"/>
              <w:rPr>
                <w:rFonts w:hint="eastAsia" w:ascii="仿宋_GB2312" w:eastAsia="仿宋_GB2312"/>
                <w:sz w:val="24"/>
              </w:rPr>
            </w:pPr>
            <w:r>
              <w:rPr>
                <w:rFonts w:ascii="仿宋_GB2312" w:eastAsia="仿宋_GB2312"/>
                <w:sz w:val="24"/>
              </w:rPr>
              <w:t>邮箱</w:t>
            </w:r>
          </w:p>
        </w:tc>
      </w:tr>
      <w:tr w14:paraId="43FA7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3" w:type="dxa"/>
            <w:vAlign w:val="center"/>
          </w:tcPr>
          <w:p w14:paraId="0B34048E">
            <w:pPr>
              <w:spacing w:line="360" w:lineRule="exact"/>
              <w:ind w:right="-154" w:rightChars="-70"/>
              <w:jc w:val="center"/>
              <w:rPr>
                <w:rFonts w:hint="eastAsia" w:ascii="仿宋_GB2312" w:eastAsia="仿宋_GB2312"/>
                <w:sz w:val="24"/>
              </w:rPr>
            </w:pPr>
          </w:p>
        </w:tc>
        <w:tc>
          <w:tcPr>
            <w:tcW w:w="848" w:type="dxa"/>
            <w:vAlign w:val="center"/>
          </w:tcPr>
          <w:p w14:paraId="16DF76A0">
            <w:pPr>
              <w:spacing w:line="360" w:lineRule="exact"/>
              <w:ind w:right="-154" w:rightChars="-70"/>
              <w:jc w:val="center"/>
              <w:rPr>
                <w:rFonts w:hint="eastAsia" w:ascii="仿宋_GB2312" w:eastAsia="仿宋_GB2312"/>
                <w:sz w:val="24"/>
              </w:rPr>
            </w:pPr>
          </w:p>
        </w:tc>
        <w:tc>
          <w:tcPr>
            <w:tcW w:w="1281" w:type="dxa"/>
            <w:vAlign w:val="center"/>
          </w:tcPr>
          <w:p w14:paraId="75AED34D">
            <w:pPr>
              <w:spacing w:line="360" w:lineRule="exact"/>
              <w:ind w:right="-154" w:rightChars="-70"/>
              <w:jc w:val="center"/>
              <w:rPr>
                <w:rFonts w:hint="eastAsia" w:ascii="仿宋_GB2312" w:eastAsia="仿宋_GB2312"/>
                <w:sz w:val="24"/>
              </w:rPr>
            </w:pPr>
          </w:p>
        </w:tc>
        <w:tc>
          <w:tcPr>
            <w:tcW w:w="1982" w:type="dxa"/>
            <w:vAlign w:val="center"/>
          </w:tcPr>
          <w:p w14:paraId="7E11AB6B">
            <w:pPr>
              <w:spacing w:line="360" w:lineRule="exact"/>
              <w:ind w:right="-154" w:rightChars="-70"/>
              <w:jc w:val="center"/>
              <w:rPr>
                <w:rFonts w:hint="eastAsia" w:ascii="仿宋_GB2312" w:eastAsia="仿宋_GB2312"/>
                <w:sz w:val="24"/>
              </w:rPr>
            </w:pPr>
          </w:p>
        </w:tc>
        <w:tc>
          <w:tcPr>
            <w:tcW w:w="1987" w:type="dxa"/>
            <w:gridSpan w:val="2"/>
            <w:vAlign w:val="center"/>
          </w:tcPr>
          <w:p w14:paraId="434820FB">
            <w:pPr>
              <w:spacing w:line="360" w:lineRule="exact"/>
              <w:ind w:right="-154" w:rightChars="-70"/>
              <w:jc w:val="center"/>
              <w:rPr>
                <w:rFonts w:hint="eastAsia" w:ascii="仿宋_GB2312" w:eastAsia="仿宋_GB2312"/>
                <w:sz w:val="24"/>
              </w:rPr>
            </w:pPr>
          </w:p>
        </w:tc>
        <w:tc>
          <w:tcPr>
            <w:tcW w:w="1986" w:type="dxa"/>
            <w:gridSpan w:val="2"/>
            <w:vAlign w:val="center"/>
          </w:tcPr>
          <w:p w14:paraId="164EEF7D">
            <w:pPr>
              <w:spacing w:line="360" w:lineRule="exact"/>
              <w:ind w:right="-154" w:rightChars="-70"/>
              <w:jc w:val="center"/>
              <w:rPr>
                <w:rFonts w:hint="eastAsia" w:ascii="仿宋_GB2312" w:eastAsia="仿宋_GB2312"/>
                <w:sz w:val="24"/>
              </w:rPr>
            </w:pPr>
          </w:p>
        </w:tc>
      </w:tr>
      <w:tr w14:paraId="55A71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3" w:type="dxa"/>
            <w:vAlign w:val="center"/>
          </w:tcPr>
          <w:p w14:paraId="5F289B73">
            <w:pPr>
              <w:spacing w:line="360" w:lineRule="exact"/>
              <w:ind w:right="-154" w:rightChars="-70"/>
              <w:jc w:val="center"/>
              <w:rPr>
                <w:rFonts w:hint="eastAsia" w:ascii="仿宋_GB2312" w:eastAsia="仿宋_GB2312"/>
                <w:sz w:val="24"/>
              </w:rPr>
            </w:pPr>
          </w:p>
        </w:tc>
        <w:tc>
          <w:tcPr>
            <w:tcW w:w="848" w:type="dxa"/>
            <w:vAlign w:val="center"/>
          </w:tcPr>
          <w:p w14:paraId="32454745">
            <w:pPr>
              <w:spacing w:line="360" w:lineRule="exact"/>
              <w:ind w:right="-154" w:rightChars="-70"/>
              <w:jc w:val="center"/>
              <w:rPr>
                <w:rFonts w:hint="eastAsia" w:ascii="仿宋_GB2312" w:eastAsia="仿宋_GB2312"/>
                <w:sz w:val="24"/>
              </w:rPr>
            </w:pPr>
          </w:p>
        </w:tc>
        <w:tc>
          <w:tcPr>
            <w:tcW w:w="1281" w:type="dxa"/>
            <w:vAlign w:val="center"/>
          </w:tcPr>
          <w:p w14:paraId="41A90CDA">
            <w:pPr>
              <w:spacing w:line="360" w:lineRule="exact"/>
              <w:ind w:right="-154" w:rightChars="-70"/>
              <w:jc w:val="center"/>
              <w:rPr>
                <w:rFonts w:hint="eastAsia" w:ascii="仿宋_GB2312" w:eastAsia="仿宋_GB2312"/>
                <w:sz w:val="24"/>
              </w:rPr>
            </w:pPr>
          </w:p>
        </w:tc>
        <w:tc>
          <w:tcPr>
            <w:tcW w:w="1982" w:type="dxa"/>
            <w:vAlign w:val="center"/>
          </w:tcPr>
          <w:p w14:paraId="574FBE4E">
            <w:pPr>
              <w:spacing w:line="360" w:lineRule="exact"/>
              <w:ind w:right="-154" w:rightChars="-70"/>
              <w:jc w:val="center"/>
              <w:rPr>
                <w:rFonts w:hint="eastAsia" w:ascii="仿宋_GB2312" w:eastAsia="仿宋_GB2312"/>
                <w:sz w:val="24"/>
              </w:rPr>
            </w:pPr>
          </w:p>
        </w:tc>
        <w:tc>
          <w:tcPr>
            <w:tcW w:w="1987" w:type="dxa"/>
            <w:gridSpan w:val="2"/>
            <w:vAlign w:val="center"/>
          </w:tcPr>
          <w:p w14:paraId="42DE415C">
            <w:pPr>
              <w:spacing w:line="360" w:lineRule="exact"/>
              <w:ind w:right="-154" w:rightChars="-70"/>
              <w:jc w:val="center"/>
              <w:rPr>
                <w:rFonts w:hint="eastAsia" w:ascii="仿宋_GB2312" w:eastAsia="仿宋_GB2312"/>
                <w:sz w:val="24"/>
              </w:rPr>
            </w:pPr>
          </w:p>
        </w:tc>
        <w:tc>
          <w:tcPr>
            <w:tcW w:w="1986" w:type="dxa"/>
            <w:gridSpan w:val="2"/>
            <w:vAlign w:val="center"/>
          </w:tcPr>
          <w:p w14:paraId="13E87233">
            <w:pPr>
              <w:spacing w:line="360" w:lineRule="exact"/>
              <w:ind w:right="-154" w:rightChars="-70"/>
              <w:jc w:val="center"/>
              <w:rPr>
                <w:rFonts w:hint="eastAsia" w:ascii="仿宋_GB2312" w:eastAsia="仿宋_GB2312"/>
                <w:sz w:val="24"/>
              </w:rPr>
            </w:pPr>
          </w:p>
        </w:tc>
      </w:tr>
      <w:tr w14:paraId="45DB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3" w:type="dxa"/>
            <w:vAlign w:val="center"/>
          </w:tcPr>
          <w:p w14:paraId="54E2709D">
            <w:pPr>
              <w:spacing w:line="360" w:lineRule="exact"/>
              <w:ind w:right="-154" w:rightChars="-70"/>
              <w:jc w:val="center"/>
              <w:rPr>
                <w:rFonts w:hint="eastAsia" w:ascii="仿宋_GB2312" w:eastAsia="仿宋_GB2312"/>
                <w:sz w:val="24"/>
              </w:rPr>
            </w:pPr>
          </w:p>
        </w:tc>
        <w:tc>
          <w:tcPr>
            <w:tcW w:w="848" w:type="dxa"/>
            <w:vAlign w:val="center"/>
          </w:tcPr>
          <w:p w14:paraId="549B1458">
            <w:pPr>
              <w:spacing w:line="360" w:lineRule="exact"/>
              <w:ind w:right="-154" w:rightChars="-70"/>
              <w:jc w:val="center"/>
              <w:rPr>
                <w:rFonts w:hint="eastAsia" w:ascii="仿宋_GB2312" w:eastAsia="仿宋_GB2312"/>
                <w:sz w:val="24"/>
              </w:rPr>
            </w:pPr>
          </w:p>
        </w:tc>
        <w:tc>
          <w:tcPr>
            <w:tcW w:w="1281" w:type="dxa"/>
            <w:vAlign w:val="center"/>
          </w:tcPr>
          <w:p w14:paraId="791628DE">
            <w:pPr>
              <w:spacing w:line="360" w:lineRule="exact"/>
              <w:ind w:right="-154" w:rightChars="-70"/>
              <w:jc w:val="center"/>
              <w:rPr>
                <w:rFonts w:hint="eastAsia" w:ascii="仿宋_GB2312" w:eastAsia="仿宋_GB2312"/>
                <w:sz w:val="24"/>
              </w:rPr>
            </w:pPr>
          </w:p>
        </w:tc>
        <w:tc>
          <w:tcPr>
            <w:tcW w:w="1982" w:type="dxa"/>
            <w:vAlign w:val="center"/>
          </w:tcPr>
          <w:p w14:paraId="4D6658AE">
            <w:pPr>
              <w:spacing w:line="360" w:lineRule="exact"/>
              <w:ind w:right="-154" w:rightChars="-70"/>
              <w:jc w:val="center"/>
              <w:rPr>
                <w:rFonts w:hint="eastAsia" w:ascii="仿宋_GB2312" w:eastAsia="仿宋_GB2312"/>
                <w:sz w:val="24"/>
              </w:rPr>
            </w:pPr>
          </w:p>
        </w:tc>
        <w:tc>
          <w:tcPr>
            <w:tcW w:w="1987" w:type="dxa"/>
            <w:gridSpan w:val="2"/>
            <w:vAlign w:val="center"/>
          </w:tcPr>
          <w:p w14:paraId="4ABAE40F">
            <w:pPr>
              <w:spacing w:line="360" w:lineRule="exact"/>
              <w:ind w:right="-154" w:rightChars="-70"/>
              <w:jc w:val="center"/>
              <w:rPr>
                <w:rFonts w:hint="eastAsia" w:ascii="仿宋_GB2312" w:eastAsia="仿宋_GB2312"/>
                <w:sz w:val="24"/>
              </w:rPr>
            </w:pPr>
          </w:p>
        </w:tc>
        <w:tc>
          <w:tcPr>
            <w:tcW w:w="1986" w:type="dxa"/>
            <w:gridSpan w:val="2"/>
            <w:vAlign w:val="center"/>
          </w:tcPr>
          <w:p w14:paraId="152BA255">
            <w:pPr>
              <w:spacing w:line="360" w:lineRule="exact"/>
              <w:ind w:right="-154" w:rightChars="-70"/>
              <w:jc w:val="center"/>
              <w:rPr>
                <w:rFonts w:hint="eastAsia" w:ascii="仿宋_GB2312" w:eastAsia="仿宋_GB2312"/>
                <w:sz w:val="24"/>
              </w:rPr>
            </w:pPr>
          </w:p>
        </w:tc>
      </w:tr>
      <w:tr w14:paraId="05EE0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3" w:type="dxa"/>
            <w:vAlign w:val="center"/>
          </w:tcPr>
          <w:p w14:paraId="0456969A">
            <w:pPr>
              <w:spacing w:line="360" w:lineRule="exact"/>
              <w:ind w:right="-154" w:rightChars="-70"/>
              <w:jc w:val="center"/>
              <w:rPr>
                <w:rFonts w:hint="eastAsia" w:ascii="仿宋_GB2312" w:eastAsia="仿宋_GB2312"/>
                <w:sz w:val="24"/>
              </w:rPr>
            </w:pPr>
          </w:p>
        </w:tc>
        <w:tc>
          <w:tcPr>
            <w:tcW w:w="848" w:type="dxa"/>
            <w:vAlign w:val="center"/>
          </w:tcPr>
          <w:p w14:paraId="14E95BDF">
            <w:pPr>
              <w:spacing w:line="360" w:lineRule="exact"/>
              <w:ind w:right="-154" w:rightChars="-70"/>
              <w:jc w:val="center"/>
              <w:rPr>
                <w:rFonts w:hint="eastAsia" w:ascii="仿宋_GB2312" w:eastAsia="仿宋_GB2312"/>
                <w:sz w:val="24"/>
              </w:rPr>
            </w:pPr>
          </w:p>
        </w:tc>
        <w:tc>
          <w:tcPr>
            <w:tcW w:w="1281" w:type="dxa"/>
            <w:vAlign w:val="center"/>
          </w:tcPr>
          <w:p w14:paraId="18B36793">
            <w:pPr>
              <w:spacing w:line="360" w:lineRule="exact"/>
              <w:ind w:right="-154" w:rightChars="-70"/>
              <w:jc w:val="center"/>
              <w:rPr>
                <w:rFonts w:hint="eastAsia" w:ascii="仿宋_GB2312" w:eastAsia="仿宋_GB2312"/>
                <w:sz w:val="24"/>
              </w:rPr>
            </w:pPr>
          </w:p>
        </w:tc>
        <w:tc>
          <w:tcPr>
            <w:tcW w:w="1982" w:type="dxa"/>
            <w:vAlign w:val="center"/>
          </w:tcPr>
          <w:p w14:paraId="6FC65D1E">
            <w:pPr>
              <w:spacing w:line="360" w:lineRule="exact"/>
              <w:ind w:right="-154" w:rightChars="-70"/>
              <w:jc w:val="center"/>
              <w:rPr>
                <w:rFonts w:hint="eastAsia" w:ascii="仿宋_GB2312" w:eastAsia="仿宋_GB2312"/>
                <w:sz w:val="24"/>
              </w:rPr>
            </w:pPr>
          </w:p>
        </w:tc>
        <w:tc>
          <w:tcPr>
            <w:tcW w:w="1987" w:type="dxa"/>
            <w:gridSpan w:val="2"/>
            <w:vAlign w:val="center"/>
          </w:tcPr>
          <w:p w14:paraId="6B8448FF">
            <w:pPr>
              <w:spacing w:line="360" w:lineRule="exact"/>
              <w:ind w:right="-154" w:rightChars="-70"/>
              <w:jc w:val="center"/>
              <w:rPr>
                <w:rFonts w:hint="eastAsia" w:ascii="仿宋_GB2312" w:eastAsia="仿宋_GB2312"/>
                <w:sz w:val="24"/>
              </w:rPr>
            </w:pPr>
          </w:p>
        </w:tc>
        <w:tc>
          <w:tcPr>
            <w:tcW w:w="1986" w:type="dxa"/>
            <w:gridSpan w:val="2"/>
            <w:vAlign w:val="center"/>
          </w:tcPr>
          <w:p w14:paraId="49DB6D9A">
            <w:pPr>
              <w:spacing w:line="360" w:lineRule="exact"/>
              <w:ind w:right="-154" w:rightChars="-70"/>
              <w:jc w:val="center"/>
              <w:rPr>
                <w:rFonts w:hint="eastAsia" w:ascii="仿宋_GB2312" w:eastAsia="仿宋_GB2312"/>
                <w:sz w:val="24"/>
              </w:rPr>
            </w:pPr>
          </w:p>
        </w:tc>
      </w:tr>
      <w:tr w14:paraId="3774A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3" w:type="dxa"/>
            <w:vAlign w:val="center"/>
          </w:tcPr>
          <w:p w14:paraId="41DE52D5">
            <w:pPr>
              <w:spacing w:line="360" w:lineRule="exact"/>
              <w:ind w:right="-154" w:rightChars="-70"/>
              <w:jc w:val="center"/>
              <w:rPr>
                <w:rFonts w:hint="eastAsia" w:ascii="仿宋_GB2312" w:eastAsia="仿宋_GB2312"/>
                <w:sz w:val="24"/>
              </w:rPr>
            </w:pPr>
          </w:p>
        </w:tc>
        <w:tc>
          <w:tcPr>
            <w:tcW w:w="848" w:type="dxa"/>
            <w:vAlign w:val="center"/>
          </w:tcPr>
          <w:p w14:paraId="128F8E5E">
            <w:pPr>
              <w:spacing w:line="360" w:lineRule="exact"/>
              <w:ind w:right="-154" w:rightChars="-70"/>
              <w:jc w:val="center"/>
              <w:rPr>
                <w:rFonts w:hint="eastAsia" w:ascii="仿宋_GB2312" w:eastAsia="仿宋_GB2312"/>
                <w:sz w:val="24"/>
              </w:rPr>
            </w:pPr>
          </w:p>
        </w:tc>
        <w:tc>
          <w:tcPr>
            <w:tcW w:w="1281" w:type="dxa"/>
            <w:vAlign w:val="center"/>
          </w:tcPr>
          <w:p w14:paraId="538CA72E">
            <w:pPr>
              <w:spacing w:line="360" w:lineRule="exact"/>
              <w:ind w:right="-154" w:rightChars="-70"/>
              <w:jc w:val="center"/>
              <w:rPr>
                <w:rFonts w:hint="eastAsia" w:ascii="仿宋_GB2312" w:eastAsia="仿宋_GB2312"/>
                <w:sz w:val="24"/>
              </w:rPr>
            </w:pPr>
          </w:p>
        </w:tc>
        <w:tc>
          <w:tcPr>
            <w:tcW w:w="1982" w:type="dxa"/>
            <w:vAlign w:val="center"/>
          </w:tcPr>
          <w:p w14:paraId="769CC91A">
            <w:pPr>
              <w:spacing w:line="360" w:lineRule="exact"/>
              <w:ind w:right="-154" w:rightChars="-70"/>
              <w:jc w:val="center"/>
              <w:rPr>
                <w:rFonts w:hint="eastAsia" w:ascii="仿宋_GB2312" w:eastAsia="仿宋_GB2312"/>
                <w:sz w:val="24"/>
              </w:rPr>
            </w:pPr>
          </w:p>
        </w:tc>
        <w:tc>
          <w:tcPr>
            <w:tcW w:w="1987" w:type="dxa"/>
            <w:gridSpan w:val="2"/>
            <w:vAlign w:val="center"/>
          </w:tcPr>
          <w:p w14:paraId="7C008747">
            <w:pPr>
              <w:spacing w:line="360" w:lineRule="exact"/>
              <w:ind w:right="-154" w:rightChars="-70"/>
              <w:jc w:val="center"/>
              <w:rPr>
                <w:rFonts w:hint="eastAsia" w:ascii="仿宋_GB2312" w:eastAsia="仿宋_GB2312"/>
                <w:sz w:val="24"/>
              </w:rPr>
            </w:pPr>
          </w:p>
        </w:tc>
        <w:tc>
          <w:tcPr>
            <w:tcW w:w="1986" w:type="dxa"/>
            <w:gridSpan w:val="2"/>
            <w:vAlign w:val="center"/>
          </w:tcPr>
          <w:p w14:paraId="203B8AAC">
            <w:pPr>
              <w:spacing w:line="360" w:lineRule="exact"/>
              <w:ind w:right="-154" w:rightChars="-70"/>
              <w:jc w:val="center"/>
              <w:rPr>
                <w:rFonts w:hint="eastAsia" w:ascii="仿宋_GB2312" w:eastAsia="仿宋_GB2312"/>
                <w:sz w:val="24"/>
              </w:rPr>
            </w:pPr>
          </w:p>
        </w:tc>
      </w:tr>
      <w:tr w14:paraId="7D763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3" w:type="dxa"/>
            <w:vAlign w:val="center"/>
          </w:tcPr>
          <w:p w14:paraId="05C7F8E5">
            <w:pPr>
              <w:spacing w:line="360" w:lineRule="exact"/>
              <w:ind w:right="-154" w:rightChars="-70"/>
              <w:jc w:val="center"/>
              <w:rPr>
                <w:rFonts w:hint="eastAsia" w:ascii="仿宋_GB2312" w:eastAsia="仿宋_GB2312"/>
                <w:sz w:val="24"/>
              </w:rPr>
            </w:pPr>
            <w:r>
              <w:rPr>
                <w:rFonts w:hint="eastAsia" w:ascii="仿宋_GB2312" w:eastAsia="仿宋_GB2312"/>
                <w:sz w:val="24"/>
              </w:rPr>
              <w:t>是否住宿</w:t>
            </w:r>
          </w:p>
        </w:tc>
        <w:tc>
          <w:tcPr>
            <w:tcW w:w="2129" w:type="dxa"/>
            <w:gridSpan w:val="2"/>
            <w:vAlign w:val="center"/>
          </w:tcPr>
          <w:p w14:paraId="067D8E86">
            <w:pPr>
              <w:spacing w:line="360" w:lineRule="exact"/>
              <w:ind w:right="-154" w:rightChars="-70"/>
              <w:jc w:val="both"/>
              <w:rPr>
                <w:rFonts w:hint="eastAsia" w:ascii="仿宋_GB2312" w:eastAsia="仿宋_GB2312"/>
                <w:sz w:val="24"/>
              </w:rPr>
            </w:pPr>
            <w:r>
              <w:rPr>
                <w:rFonts w:ascii="仿宋_GB2312" w:eastAsia="仿宋_GB2312"/>
                <w:sz w:val="24"/>
              </w:rPr>
              <w:sym w:font="Wingdings" w:char="00A8"/>
            </w:r>
            <w:r>
              <w:rPr>
                <w:rFonts w:hint="eastAsia" w:ascii="仿宋_GB2312" w:eastAsia="仿宋_GB2312"/>
                <w:sz w:val="24"/>
              </w:rPr>
              <w:t xml:space="preserve">是 </w:t>
            </w:r>
            <w:r>
              <w:rPr>
                <w:rFonts w:ascii="仿宋_GB2312" w:eastAsia="仿宋_GB2312"/>
                <w:sz w:val="24"/>
              </w:rPr>
              <w:t xml:space="preserve">    </w:t>
            </w:r>
            <w:r>
              <w:rPr>
                <w:rFonts w:hint="eastAsia" w:ascii="仿宋_GB2312" w:eastAsia="仿宋_GB2312"/>
                <w:sz w:val="24"/>
              </w:rPr>
              <w:t xml:space="preserve">   </w:t>
            </w:r>
            <w:r>
              <w:rPr>
                <w:rFonts w:ascii="仿宋_GB2312" w:eastAsia="仿宋_GB2312"/>
                <w:sz w:val="24"/>
              </w:rPr>
              <w:sym w:font="Wingdings" w:char="00A8"/>
            </w:r>
            <w:r>
              <w:rPr>
                <w:rFonts w:hint="eastAsia" w:ascii="仿宋_GB2312" w:eastAsia="仿宋_GB2312"/>
                <w:sz w:val="24"/>
              </w:rPr>
              <w:t>否</w:t>
            </w:r>
          </w:p>
        </w:tc>
        <w:tc>
          <w:tcPr>
            <w:tcW w:w="1982" w:type="dxa"/>
            <w:vAlign w:val="center"/>
          </w:tcPr>
          <w:p w14:paraId="5F0D8C80">
            <w:pPr>
              <w:spacing w:line="360" w:lineRule="exact"/>
              <w:ind w:right="-154" w:rightChars="-70"/>
              <w:jc w:val="center"/>
              <w:rPr>
                <w:rFonts w:hint="eastAsia" w:ascii="仿宋_GB2312" w:eastAsia="仿宋_GB2312"/>
                <w:sz w:val="24"/>
              </w:rPr>
            </w:pPr>
            <w:r>
              <w:rPr>
                <w:rFonts w:hint="eastAsia" w:ascii="仿宋_GB2312" w:eastAsia="仿宋_GB2312"/>
                <w:sz w:val="24"/>
              </w:rPr>
              <w:t>住宿标准</w:t>
            </w:r>
          </w:p>
        </w:tc>
        <w:tc>
          <w:tcPr>
            <w:tcW w:w="3973" w:type="dxa"/>
            <w:gridSpan w:val="4"/>
            <w:vAlign w:val="center"/>
          </w:tcPr>
          <w:p w14:paraId="6C861B34">
            <w:pPr>
              <w:spacing w:line="360" w:lineRule="exact"/>
              <w:ind w:right="-154" w:rightChars="-70"/>
              <w:jc w:val="both"/>
              <w:rPr>
                <w:rFonts w:hint="eastAsia" w:ascii="仿宋_GB2312" w:eastAsia="仿宋_GB2312"/>
                <w:sz w:val="24"/>
              </w:rPr>
            </w:pPr>
            <w:r>
              <w:rPr>
                <w:rFonts w:ascii="仿宋_GB2312" w:eastAsia="仿宋_GB2312"/>
                <w:sz w:val="24"/>
              </w:rPr>
              <w:sym w:font="Wingdings" w:char="00A8"/>
            </w:r>
            <w:r>
              <w:rPr>
                <w:rFonts w:hint="eastAsia" w:ascii="仿宋_GB2312" w:eastAsia="仿宋_GB2312"/>
                <w:sz w:val="24"/>
              </w:rPr>
              <w:t>单间</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rPr>
              <w:t xml:space="preserve">间 </w:t>
            </w:r>
            <w:r>
              <w:rPr>
                <w:rFonts w:ascii="仿宋_GB2312" w:eastAsia="仿宋_GB2312"/>
                <w:sz w:val="24"/>
              </w:rPr>
              <w:t xml:space="preserve">   </w:t>
            </w:r>
            <w:r>
              <w:rPr>
                <w:rFonts w:ascii="仿宋_GB2312" w:eastAsia="仿宋_GB2312"/>
                <w:sz w:val="24"/>
              </w:rPr>
              <w:sym w:font="Wingdings" w:char="00A8"/>
            </w:r>
            <w:r>
              <w:rPr>
                <w:rFonts w:hint="eastAsia" w:ascii="仿宋_GB2312" w:eastAsia="仿宋_GB2312"/>
                <w:sz w:val="24"/>
              </w:rPr>
              <w:t>标间</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rPr>
              <w:t>间</w:t>
            </w:r>
          </w:p>
        </w:tc>
      </w:tr>
      <w:tr w14:paraId="675A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3" w:type="dxa"/>
            <w:vAlign w:val="center"/>
          </w:tcPr>
          <w:p w14:paraId="04BAD08E">
            <w:pPr>
              <w:spacing w:line="360" w:lineRule="exact"/>
              <w:ind w:right="-154" w:rightChars="-70"/>
              <w:jc w:val="center"/>
              <w:rPr>
                <w:rFonts w:hint="eastAsia" w:ascii="仿宋_GB2312" w:eastAsia="仿宋_GB2312"/>
                <w:sz w:val="24"/>
              </w:rPr>
            </w:pPr>
            <w:r>
              <w:rPr>
                <w:rFonts w:hint="eastAsia" w:ascii="仿宋_GB2312" w:eastAsia="仿宋_GB2312"/>
                <w:sz w:val="24"/>
              </w:rPr>
              <w:t>参会地点</w:t>
            </w:r>
          </w:p>
        </w:tc>
        <w:tc>
          <w:tcPr>
            <w:tcW w:w="8084" w:type="dxa"/>
            <w:gridSpan w:val="7"/>
            <w:vAlign w:val="center"/>
          </w:tcPr>
          <w:p w14:paraId="1225A669">
            <w:pPr>
              <w:spacing w:line="360" w:lineRule="exact"/>
              <w:ind w:right="-154" w:rightChars="-70"/>
              <w:jc w:val="both"/>
              <w:rPr>
                <w:rFonts w:hint="eastAsia" w:ascii="仿宋_GB2312" w:eastAsia="仿宋_GB2312"/>
                <w:sz w:val="24"/>
              </w:rPr>
            </w:pPr>
            <w:r>
              <w:rPr>
                <w:rFonts w:ascii="仿宋_GB2312" w:eastAsia="仿宋_GB2312"/>
                <w:color w:val="000000" w:themeColor="text1"/>
                <w:sz w:val="24"/>
                <w14:textFill>
                  <w14:solidFill>
                    <w14:schemeClr w14:val="tx1"/>
                  </w14:solidFill>
                </w14:textFill>
              </w:rPr>
              <w:sym w:font="Wingdings" w:char="00A8"/>
            </w:r>
            <w:r>
              <w:rPr>
                <w:rFonts w:hint="eastAsia" w:ascii="仿宋_GB2312" w:eastAsia="仿宋_GB2312"/>
                <w:color w:val="000000" w:themeColor="text1"/>
                <w:sz w:val="24"/>
                <w:lang w:val="en-US" w:eastAsia="zh-CN"/>
                <w14:textFill>
                  <w14:solidFill>
                    <w14:schemeClr w14:val="tx1"/>
                  </w14:solidFill>
                </w14:textFill>
              </w:rPr>
              <w:t>厦门</w:t>
            </w:r>
            <w:r>
              <w:rPr>
                <w:rFonts w:hint="eastAsia" w:ascii="仿宋_GB2312" w:eastAsia="仿宋_GB2312"/>
                <w:color w:val="000000" w:themeColor="text1"/>
                <w:sz w:val="24"/>
                <w:lang w:val="en-US"/>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r>
              <w:rPr>
                <w:rFonts w:ascii="仿宋_GB2312" w:eastAsia="仿宋_GB2312"/>
                <w:color w:val="000000" w:themeColor="text1"/>
                <w:sz w:val="24"/>
                <w14:textFill>
                  <w14:solidFill>
                    <w14:schemeClr w14:val="tx1"/>
                  </w14:solidFill>
                </w14:textFill>
              </w:rPr>
              <w:sym w:font="Wingdings" w:char="00A8"/>
            </w:r>
            <w:r>
              <w:rPr>
                <w:rFonts w:hint="eastAsia" w:ascii="仿宋_GB2312" w:eastAsia="仿宋_GB2312"/>
                <w:color w:val="000000" w:themeColor="text1"/>
                <w:sz w:val="24"/>
                <w:lang w:val="en-US" w:eastAsia="zh-CN"/>
                <w14:textFill>
                  <w14:solidFill>
                    <w14:schemeClr w14:val="tx1"/>
                  </w14:solidFill>
                </w14:textFill>
              </w:rPr>
              <w:t>昆明</w:t>
            </w:r>
            <w:r>
              <w:rPr>
                <w:rFonts w:hint="eastAsia" w:ascii="仿宋_GB2312" w:eastAsia="仿宋_GB2312"/>
                <w:color w:val="000000" w:themeColor="text1"/>
                <w:sz w:val="24"/>
                <w:lang w:val="en-US"/>
                <w14:textFill>
                  <w14:solidFill>
                    <w14:schemeClr w14:val="tx1"/>
                  </w14:solidFill>
                </w14:textFill>
              </w:rPr>
              <w:t xml:space="preserve">       </w:t>
            </w:r>
            <w:r>
              <w:rPr>
                <w:rFonts w:ascii="仿宋_GB2312" w:eastAsia="仿宋_GB2312"/>
                <w:color w:val="000000" w:themeColor="text1"/>
                <w:sz w:val="24"/>
                <w14:textFill>
                  <w14:solidFill>
                    <w14:schemeClr w14:val="tx1"/>
                  </w14:solidFill>
                </w14:textFill>
              </w:rPr>
              <w:sym w:font="Wingdings" w:char="00A8"/>
            </w:r>
            <w:r>
              <w:rPr>
                <w:rFonts w:hint="eastAsia" w:ascii="仿宋_GB2312" w:eastAsia="仿宋_GB2312"/>
                <w:color w:val="000000" w:themeColor="text1"/>
                <w:sz w:val="24"/>
                <w:lang w:val="en-US" w:eastAsia="zh-CN"/>
                <w14:textFill>
                  <w14:solidFill>
                    <w14:schemeClr w14:val="tx1"/>
                  </w14:solidFill>
                </w14:textFill>
              </w:rPr>
              <w:t>成都</w:t>
            </w:r>
            <w:r>
              <w:rPr>
                <w:rFonts w:hint="eastAsia" w:ascii="仿宋_GB2312" w:eastAsia="仿宋_GB2312"/>
                <w:color w:val="000000" w:themeColor="text1"/>
                <w:sz w:val="24"/>
                <w:lang w:val="en-US"/>
                <w14:textFill>
                  <w14:solidFill>
                    <w14:schemeClr w14:val="tx1"/>
                  </w14:solidFill>
                </w14:textFill>
              </w:rPr>
              <w:t xml:space="preserve">     </w:t>
            </w:r>
            <w:r>
              <w:rPr>
                <w:rFonts w:hint="eastAsia" w:ascii="仿宋_GB2312" w:eastAsia="仿宋_GB2312"/>
                <w:color w:val="000000" w:themeColor="text1"/>
                <w:sz w:val="24"/>
                <w:lang w:val="en-US" w:eastAsia="zh-CN"/>
                <w14:textFill>
                  <w14:solidFill>
                    <w14:schemeClr w14:val="tx1"/>
                  </w14:solidFill>
                </w14:textFill>
              </w:rPr>
              <w:t xml:space="preserve"> </w:t>
            </w:r>
            <w:r>
              <w:rPr>
                <w:rFonts w:ascii="仿宋_GB2312" w:eastAsia="仿宋_GB2312"/>
                <w:color w:val="000000" w:themeColor="text1"/>
                <w:sz w:val="24"/>
                <w14:textFill>
                  <w14:solidFill>
                    <w14:schemeClr w14:val="tx1"/>
                  </w14:solidFill>
                </w14:textFill>
              </w:rPr>
              <w:sym w:font="Wingdings" w:char="00A8"/>
            </w:r>
            <w:r>
              <w:rPr>
                <w:rFonts w:hint="eastAsia" w:ascii="仿宋_GB2312" w:eastAsia="仿宋_GB2312"/>
                <w:sz w:val="24"/>
                <w:lang w:val="en-US"/>
              </w:rPr>
              <w:t>线上课程</w:t>
            </w:r>
          </w:p>
        </w:tc>
      </w:tr>
      <w:tr w14:paraId="379B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3" w:type="dxa"/>
            <w:vAlign w:val="center"/>
          </w:tcPr>
          <w:p w14:paraId="031DF421">
            <w:pPr>
              <w:spacing w:line="360" w:lineRule="exact"/>
              <w:ind w:right="-154" w:rightChars="-70"/>
              <w:jc w:val="center"/>
              <w:rPr>
                <w:rFonts w:hint="default" w:ascii="仿宋_GB2312" w:eastAsia="仿宋_GB2312"/>
                <w:sz w:val="24"/>
                <w:lang w:val="en-US" w:eastAsia="zh-CN"/>
              </w:rPr>
            </w:pPr>
            <w:r>
              <w:rPr>
                <w:rFonts w:hint="eastAsia" w:ascii="仿宋_GB2312" w:eastAsia="仿宋_GB2312"/>
                <w:sz w:val="24"/>
                <w:lang w:val="en-US" w:eastAsia="zh-CN"/>
              </w:rPr>
              <w:t>学习领域</w:t>
            </w:r>
          </w:p>
        </w:tc>
        <w:tc>
          <w:tcPr>
            <w:tcW w:w="8084" w:type="dxa"/>
            <w:gridSpan w:val="7"/>
            <w:vAlign w:val="center"/>
          </w:tcPr>
          <w:p w14:paraId="32EC3E5A">
            <w:pPr>
              <w:spacing w:line="360" w:lineRule="exact"/>
              <w:ind w:right="-154" w:rightChars="-70"/>
              <w:jc w:val="both"/>
              <w:rPr>
                <w:rFonts w:hint="eastAsia" w:ascii="仿宋_GB2312" w:eastAsia="仿宋_GB2312"/>
                <w:color w:val="000000" w:themeColor="text1"/>
                <w:sz w:val="24"/>
                <w:lang w:val="en-US" w:eastAsia="zh-CN"/>
                <w14:textFill>
                  <w14:solidFill>
                    <w14:schemeClr w14:val="tx1"/>
                  </w14:solidFill>
                </w14:textFill>
              </w:rPr>
            </w:pPr>
            <w:r>
              <w:rPr>
                <w:rFonts w:ascii="仿宋_GB2312" w:eastAsia="仿宋_GB2312"/>
                <w:color w:val="000000" w:themeColor="text1"/>
                <w:sz w:val="24"/>
                <w14:textFill>
                  <w14:solidFill>
                    <w14:schemeClr w14:val="tx1"/>
                  </w14:solidFill>
                </w14:textFill>
              </w:rPr>
              <w:sym w:font="Wingdings" w:char="00A8"/>
            </w:r>
            <w:r>
              <w:rPr>
                <w:rFonts w:hint="eastAsia" w:ascii="仿宋_GB2312" w:eastAsia="仿宋_GB2312"/>
                <w:color w:val="000000" w:themeColor="text1"/>
                <w:sz w:val="24"/>
                <w:lang w:val="en-US" w:eastAsia="zh-CN"/>
                <w14:textFill>
                  <w14:solidFill>
                    <w14:schemeClr w14:val="tx1"/>
                  </w14:solidFill>
                </w14:textFill>
              </w:rPr>
              <w:t xml:space="preserve">资金申请和审计风险     </w:t>
            </w:r>
            <w:r>
              <w:rPr>
                <w:rFonts w:ascii="仿宋_GB2312" w:eastAsia="仿宋_GB2312"/>
                <w:color w:val="000000" w:themeColor="text1"/>
                <w:sz w:val="24"/>
                <w14:textFill>
                  <w14:solidFill>
                    <w14:schemeClr w14:val="tx1"/>
                  </w14:solidFill>
                </w14:textFill>
              </w:rPr>
              <w:sym w:font="Wingdings" w:char="00A8"/>
            </w:r>
            <w:r>
              <w:rPr>
                <w:rFonts w:hint="eastAsia" w:ascii="仿宋_GB2312" w:eastAsia="仿宋_GB2312"/>
                <w:color w:val="000000" w:themeColor="text1"/>
                <w:sz w:val="24"/>
                <w:lang w:val="en-US" w:eastAsia="zh-CN"/>
                <w14:textFill>
                  <w14:solidFill>
                    <w14:schemeClr w14:val="tx1"/>
                  </w14:solidFill>
                </w14:textFill>
              </w:rPr>
              <w:t xml:space="preserve">城市更新  </w:t>
            </w:r>
            <w:r>
              <w:rPr>
                <w:rFonts w:ascii="仿宋_GB2312" w:eastAsia="仿宋_GB2312"/>
                <w:color w:val="000000" w:themeColor="text1"/>
                <w:sz w:val="24"/>
                <w14:textFill>
                  <w14:solidFill>
                    <w14:schemeClr w14:val="tx1"/>
                  </w14:solidFill>
                </w14:textFill>
              </w:rPr>
              <w:sym w:font="Wingdings" w:char="00A8"/>
            </w:r>
            <w:r>
              <w:rPr>
                <w:rFonts w:hint="eastAsia" w:ascii="仿宋_GB2312" w:eastAsia="仿宋_GB2312"/>
                <w:color w:val="000000" w:themeColor="text1"/>
                <w:sz w:val="24"/>
                <w:lang w:val="en-US" w:eastAsia="zh-CN"/>
                <w14:textFill>
                  <w14:solidFill>
                    <w14:schemeClr w14:val="tx1"/>
                  </w14:solidFill>
                </w14:textFill>
              </w:rPr>
              <w:t>低空经济</w:t>
            </w:r>
          </w:p>
        </w:tc>
      </w:tr>
      <w:tr w14:paraId="3E355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3" w:type="dxa"/>
            <w:vAlign w:val="center"/>
          </w:tcPr>
          <w:p w14:paraId="643015D7">
            <w:pPr>
              <w:spacing w:line="360" w:lineRule="exact"/>
              <w:ind w:right="-154" w:rightChars="-70"/>
              <w:jc w:val="center"/>
              <w:rPr>
                <w:rFonts w:hint="eastAsia" w:ascii="仿宋_GB2312" w:eastAsia="仿宋_GB2312"/>
                <w:sz w:val="24"/>
              </w:rPr>
            </w:pPr>
            <w:r>
              <w:rPr>
                <w:rFonts w:hint="eastAsia" w:ascii="仿宋_GB2312" w:eastAsia="仿宋_GB2312"/>
                <w:sz w:val="24"/>
              </w:rPr>
              <w:t>证</w:t>
            </w:r>
            <w:r>
              <w:rPr>
                <w:rFonts w:ascii="仿宋_GB2312" w:eastAsia="仿宋_GB2312"/>
                <w:sz w:val="24"/>
              </w:rPr>
              <w:t>书申报</w:t>
            </w:r>
          </w:p>
        </w:tc>
        <w:tc>
          <w:tcPr>
            <w:tcW w:w="8084" w:type="dxa"/>
            <w:gridSpan w:val="7"/>
            <w:vAlign w:val="center"/>
          </w:tcPr>
          <w:p w14:paraId="63E117DB">
            <w:pPr>
              <w:spacing w:line="360" w:lineRule="exact"/>
              <w:ind w:right="-154" w:rightChars="-70"/>
              <w:jc w:val="both"/>
              <w:rPr>
                <w:rFonts w:hint="eastAsia" w:ascii="仿宋_GB2312" w:eastAsia="仿宋_GB2312"/>
                <w:sz w:val="24"/>
                <w:lang w:val="en-US"/>
              </w:rPr>
            </w:pPr>
            <w:r>
              <w:rPr>
                <w:rFonts w:ascii="仿宋_GB2312" w:eastAsia="仿宋_GB2312"/>
                <w:sz w:val="24"/>
                <w:lang w:val="en-US"/>
              </w:rPr>
              <w:sym w:font="Wingdings" w:char="00A8"/>
            </w:r>
            <w:r>
              <w:rPr>
                <w:rFonts w:hint="eastAsia" w:ascii="仿宋_GB2312" w:eastAsia="仿宋_GB2312"/>
                <w:sz w:val="24"/>
                <w:lang w:val="en-US"/>
              </w:rPr>
              <w:t>《投资建设项目管理师》（高级）</w:t>
            </w:r>
            <w:r>
              <w:rPr>
                <w:rFonts w:ascii="仿宋_GB2312" w:eastAsia="仿宋_GB2312"/>
                <w:sz w:val="24"/>
                <w:lang w:val="en-US"/>
              </w:rPr>
              <w:t xml:space="preserve">  </w:t>
            </w:r>
            <w:r>
              <w:rPr>
                <w:rFonts w:hint="eastAsia" w:ascii="仿宋_GB2312" w:eastAsia="仿宋_GB2312"/>
                <w:sz w:val="24"/>
                <w:lang w:val="en-US"/>
              </w:rPr>
              <w:t xml:space="preserve"> </w:t>
            </w:r>
            <w:r>
              <w:rPr>
                <w:rFonts w:hint="eastAsia" w:ascii="仿宋_GB2312" w:eastAsia="仿宋_GB2312"/>
                <w:sz w:val="24"/>
                <w:lang w:val="en-US" w:eastAsia="zh-CN"/>
              </w:rPr>
              <w:t xml:space="preserve"> </w:t>
            </w:r>
            <w:r>
              <w:rPr>
                <w:rFonts w:hint="eastAsia" w:ascii="仿宋_GB2312" w:eastAsia="仿宋_GB2312"/>
                <w:sz w:val="24"/>
                <w:lang w:val="en-US"/>
              </w:rPr>
              <w:t xml:space="preserve"> </w:t>
            </w:r>
            <w:r>
              <w:rPr>
                <w:rFonts w:ascii="仿宋_GB2312" w:eastAsia="仿宋_GB2312"/>
                <w:sz w:val="24"/>
                <w:lang w:val="en-US"/>
              </w:rPr>
              <w:sym w:font="Wingdings" w:char="00A8"/>
            </w:r>
            <w:r>
              <w:rPr>
                <w:rFonts w:hint="eastAsia" w:ascii="仿宋_GB2312" w:eastAsia="仿宋_GB2312"/>
                <w:sz w:val="24"/>
                <w:lang w:val="en-US"/>
              </w:rPr>
              <w:t>《城市更新项目经理》（高级）</w:t>
            </w:r>
          </w:p>
          <w:p w14:paraId="638DDF30">
            <w:pPr>
              <w:spacing w:line="360" w:lineRule="exact"/>
              <w:ind w:right="-154" w:rightChars="-70"/>
              <w:jc w:val="both"/>
              <w:rPr>
                <w:rFonts w:hint="eastAsia" w:ascii="仿宋_GB2312" w:eastAsia="仿宋_GB2312"/>
                <w:sz w:val="24"/>
                <w:lang w:val="en-US"/>
              </w:rPr>
            </w:pPr>
            <w:r>
              <w:rPr>
                <w:rFonts w:ascii="仿宋_GB2312" w:eastAsia="仿宋_GB2312"/>
                <w:sz w:val="24"/>
                <w:lang w:val="en-US"/>
              </w:rPr>
              <w:sym w:font="Wingdings" w:char="00A8"/>
            </w:r>
            <w:r>
              <w:rPr>
                <w:rFonts w:hint="eastAsia" w:ascii="仿宋_GB2312" w:eastAsia="仿宋_GB2312"/>
                <w:sz w:val="24"/>
                <w:lang w:val="en-US"/>
              </w:rPr>
              <w:t>《低空</w:t>
            </w:r>
            <w:r>
              <w:rPr>
                <w:rFonts w:hint="eastAsia" w:ascii="仿宋_GB2312" w:eastAsia="仿宋_GB2312"/>
                <w:sz w:val="24"/>
                <w:lang w:val="en-US" w:eastAsia="zh-CN"/>
              </w:rPr>
              <w:t>项目规划</w:t>
            </w:r>
            <w:r>
              <w:rPr>
                <w:rFonts w:hint="eastAsia" w:ascii="仿宋_GB2312" w:eastAsia="仿宋_GB2312"/>
                <w:sz w:val="24"/>
                <w:lang w:val="en-US"/>
              </w:rPr>
              <w:t>运营管理师</w:t>
            </w:r>
            <w:r>
              <w:rPr>
                <w:rFonts w:hint="eastAsia" w:ascii="仿宋_GB2312" w:eastAsia="仿宋_GB2312"/>
                <w:sz w:val="24"/>
                <w:lang w:val="en-US" w:eastAsia="zh-CN"/>
              </w:rPr>
              <w:t>》</w:t>
            </w:r>
            <w:r>
              <w:rPr>
                <w:rFonts w:hint="eastAsia" w:ascii="仿宋_GB2312" w:eastAsia="仿宋_GB2312"/>
                <w:sz w:val="24"/>
                <w:lang w:val="en-US"/>
              </w:rPr>
              <w:t xml:space="preserve">（高级） </w:t>
            </w:r>
            <w:r>
              <w:rPr>
                <w:rFonts w:ascii="仿宋_GB2312" w:eastAsia="仿宋_GB2312"/>
                <w:sz w:val="24"/>
                <w:lang w:val="en-US"/>
              </w:rPr>
              <w:sym w:font="Wingdings" w:char="00A8"/>
            </w:r>
            <w:r>
              <w:rPr>
                <w:rFonts w:hint="eastAsia" w:ascii="仿宋_GB2312" w:eastAsia="仿宋_GB2312"/>
                <w:sz w:val="24"/>
                <w:lang w:val="en-US" w:eastAsia="zh-CN"/>
              </w:rPr>
              <w:t>《</w:t>
            </w:r>
            <w:r>
              <w:rPr>
                <w:rFonts w:hint="eastAsia" w:ascii="仿宋_GB2312" w:eastAsia="仿宋_GB2312"/>
                <w:sz w:val="24"/>
                <w:lang w:val="en-US"/>
              </w:rPr>
              <w:t>低空经济规划师</w:t>
            </w:r>
            <w:r>
              <w:rPr>
                <w:rFonts w:hint="eastAsia" w:ascii="仿宋_GB2312" w:eastAsia="仿宋_GB2312"/>
                <w:sz w:val="24"/>
                <w:lang w:val="en-US" w:eastAsia="zh-CN"/>
              </w:rPr>
              <w:t>》</w:t>
            </w:r>
            <w:r>
              <w:rPr>
                <w:rFonts w:hint="eastAsia" w:ascii="仿宋_GB2312" w:eastAsia="仿宋_GB2312"/>
                <w:sz w:val="24"/>
                <w:lang w:val="en-US"/>
              </w:rPr>
              <w:t>（高级）</w:t>
            </w:r>
          </w:p>
          <w:p w14:paraId="3EB73BC0">
            <w:pPr>
              <w:spacing w:line="360" w:lineRule="exact"/>
              <w:ind w:right="-154" w:rightChars="-70"/>
              <w:jc w:val="both"/>
              <w:rPr>
                <w:rFonts w:hint="eastAsia" w:ascii="仿宋_GB2312" w:eastAsia="仿宋_GB2312"/>
                <w:sz w:val="24"/>
                <w:lang w:val="en-US"/>
              </w:rPr>
            </w:pPr>
            <w:r>
              <w:rPr>
                <w:rFonts w:ascii="仿宋_GB2312" w:eastAsia="仿宋_GB2312"/>
                <w:sz w:val="24"/>
                <w:lang w:val="en-US"/>
              </w:rPr>
              <w:sym w:font="Wingdings" w:char="00A8"/>
            </w:r>
            <w:r>
              <w:rPr>
                <w:rFonts w:hint="eastAsia" w:ascii="仿宋_GB2312" w:eastAsia="仿宋_GB2312"/>
                <w:sz w:val="24"/>
                <w:lang w:val="en-US" w:eastAsia="zh-CN"/>
              </w:rPr>
              <w:t>《</w:t>
            </w:r>
            <w:r>
              <w:rPr>
                <w:rFonts w:hint="eastAsia" w:ascii="仿宋_GB2312" w:eastAsia="仿宋_GB2312"/>
                <w:sz w:val="24"/>
                <w:lang w:val="en-US"/>
              </w:rPr>
              <w:t>低空经济项目经理》（高级）</w:t>
            </w:r>
          </w:p>
        </w:tc>
      </w:tr>
      <w:tr w14:paraId="3645D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63" w:type="dxa"/>
            <w:vAlign w:val="center"/>
          </w:tcPr>
          <w:p w14:paraId="28AEC30D">
            <w:pPr>
              <w:spacing w:line="360" w:lineRule="exact"/>
              <w:ind w:right="-154" w:rightChars="-70"/>
              <w:jc w:val="center"/>
              <w:rPr>
                <w:rFonts w:hint="eastAsia" w:ascii="仿宋_GB2312" w:eastAsia="仿宋_GB2312"/>
                <w:sz w:val="24"/>
              </w:rPr>
            </w:pPr>
            <w:r>
              <w:rPr>
                <w:rFonts w:ascii="仿宋_GB2312" w:eastAsia="仿宋_GB2312"/>
                <w:sz w:val="24"/>
              </w:rPr>
              <w:t>标准选项</w:t>
            </w:r>
          </w:p>
        </w:tc>
        <w:tc>
          <w:tcPr>
            <w:tcW w:w="8084" w:type="dxa"/>
            <w:gridSpan w:val="7"/>
            <w:vAlign w:val="center"/>
          </w:tcPr>
          <w:p w14:paraId="44D882DF">
            <w:pPr>
              <w:spacing w:line="360" w:lineRule="exact"/>
              <w:ind w:right="-154" w:rightChars="-70"/>
              <w:jc w:val="both"/>
              <w:rPr>
                <w:rFonts w:hint="eastAsia" w:ascii="仿宋_GB2312" w:eastAsia="仿宋_GB2312"/>
                <w:sz w:val="24"/>
                <w:lang w:val="en-US"/>
              </w:rPr>
            </w:pPr>
            <w:r>
              <w:rPr>
                <w:rFonts w:ascii="仿宋_GB2312" w:eastAsia="仿宋_GB2312"/>
                <w:sz w:val="24"/>
              </w:rPr>
              <w:sym w:font="Wingdings" w:char="00A8"/>
            </w:r>
            <w:r>
              <w:rPr>
                <w:rFonts w:hint="eastAsia" w:ascii="仿宋_GB2312" w:eastAsia="仿宋_GB2312"/>
                <w:sz w:val="24"/>
              </w:rPr>
              <w:t>个人会员</w:t>
            </w:r>
            <w:r>
              <w:rPr>
                <w:rFonts w:ascii="仿宋_GB2312" w:eastAsia="仿宋_GB2312"/>
                <w:sz w:val="24"/>
              </w:rPr>
              <w:t>：</w:t>
            </w:r>
            <w:r>
              <w:rPr>
                <w:rFonts w:hint="eastAsia" w:ascii="仿宋_GB2312" w:eastAsia="仿宋_GB2312"/>
                <w:sz w:val="24"/>
                <w:lang w:val="en-US"/>
              </w:rPr>
              <w:t>3200</w:t>
            </w:r>
            <w:r>
              <w:rPr>
                <w:rFonts w:ascii="仿宋_GB2312" w:eastAsia="仿宋_GB2312"/>
                <w:sz w:val="24"/>
              </w:rPr>
              <w:t>元</w:t>
            </w:r>
            <w:r>
              <w:rPr>
                <w:rFonts w:hint="eastAsia" w:ascii="仿宋_GB2312" w:eastAsia="仿宋_GB2312"/>
                <w:sz w:val="24"/>
              </w:rPr>
              <w:t>/人</w:t>
            </w:r>
            <w:r>
              <w:rPr>
                <w:rFonts w:hint="eastAsia" w:ascii="仿宋_GB2312" w:eastAsia="仿宋_GB2312"/>
                <w:sz w:val="24"/>
                <w:lang w:val="en-US"/>
              </w:rPr>
              <w:t xml:space="preserve"> /年           </w:t>
            </w:r>
            <w:r>
              <w:rPr>
                <w:rFonts w:hint="eastAsia" w:ascii="仿宋_GB2312" w:eastAsia="仿宋_GB2312"/>
                <w:sz w:val="24"/>
                <w:lang w:val="en-US" w:eastAsia="zh-CN"/>
              </w:rPr>
              <w:t xml:space="preserve"> </w:t>
            </w:r>
            <w:r>
              <w:rPr>
                <w:rFonts w:ascii="仿宋_GB2312" w:eastAsia="仿宋_GB2312"/>
                <w:sz w:val="24"/>
              </w:rPr>
              <w:sym w:font="Wingdings" w:char="00A8"/>
            </w:r>
            <w:r>
              <w:rPr>
                <w:rFonts w:hint="eastAsia" w:ascii="仿宋_GB2312" w:eastAsia="仿宋_GB2312"/>
                <w:sz w:val="24"/>
              </w:rPr>
              <w:t>企业会员</w:t>
            </w:r>
            <w:r>
              <w:rPr>
                <w:rFonts w:ascii="仿宋_GB2312" w:eastAsia="仿宋_GB2312"/>
                <w:sz w:val="24"/>
              </w:rPr>
              <w:t xml:space="preserve"> ：</w:t>
            </w:r>
            <w:r>
              <w:rPr>
                <w:rFonts w:hint="eastAsia" w:ascii="仿宋_GB2312" w:eastAsia="仿宋_GB2312"/>
                <w:sz w:val="24"/>
                <w:lang w:val="en-US"/>
              </w:rPr>
              <w:t>10000</w:t>
            </w:r>
            <w:r>
              <w:rPr>
                <w:rFonts w:ascii="仿宋_GB2312" w:eastAsia="仿宋_GB2312"/>
                <w:sz w:val="24"/>
              </w:rPr>
              <w:t>元</w:t>
            </w:r>
            <w:r>
              <w:rPr>
                <w:rFonts w:hint="eastAsia" w:ascii="仿宋_GB2312" w:eastAsia="仿宋_GB2312"/>
                <w:sz w:val="24"/>
              </w:rPr>
              <w:t>/家/年</w:t>
            </w:r>
          </w:p>
          <w:p w14:paraId="1B32322A">
            <w:pPr>
              <w:spacing w:line="360" w:lineRule="exact"/>
              <w:ind w:right="-154" w:rightChars="-70"/>
              <w:jc w:val="both"/>
              <w:rPr>
                <w:rFonts w:hint="eastAsia" w:ascii="仿宋_GB2312" w:eastAsia="仿宋_GB2312"/>
                <w:sz w:val="24"/>
              </w:rPr>
            </w:pPr>
            <w:r>
              <w:rPr>
                <w:rFonts w:ascii="仿宋_GB2312" w:eastAsia="仿宋_GB2312"/>
                <w:sz w:val="24"/>
              </w:rPr>
              <w:sym w:font="Wingdings" w:char="00A8"/>
            </w:r>
            <w:r>
              <w:rPr>
                <w:rFonts w:hint="eastAsia" w:ascii="仿宋_GB2312" w:eastAsia="仿宋_GB2312"/>
                <w:sz w:val="24"/>
              </w:rPr>
              <w:t xml:space="preserve">会员复训费：200元/人         </w:t>
            </w:r>
            <w:r>
              <w:rPr>
                <w:rFonts w:ascii="仿宋_GB2312" w:eastAsia="仿宋_GB2312"/>
                <w:sz w:val="24"/>
              </w:rPr>
              <w:t xml:space="preserve">  </w:t>
            </w: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 xml:space="preserve"> </w:t>
            </w:r>
            <w:r>
              <w:rPr>
                <w:rFonts w:ascii="仿宋_GB2312" w:eastAsia="仿宋_GB2312"/>
                <w:sz w:val="24"/>
              </w:rPr>
              <w:sym w:font="Wingdings" w:char="00A8"/>
            </w:r>
            <w:r>
              <w:rPr>
                <w:rFonts w:hint="eastAsia" w:ascii="仿宋_GB2312" w:eastAsia="仿宋_GB2312"/>
                <w:sz w:val="24"/>
                <w:lang w:val="en-US"/>
              </w:rPr>
              <w:t>视频课程</w:t>
            </w:r>
            <w:r>
              <w:rPr>
                <w:rFonts w:ascii="仿宋_GB2312" w:eastAsia="仿宋_GB2312"/>
                <w:sz w:val="24"/>
              </w:rPr>
              <w:t>费：1500元</w:t>
            </w:r>
            <w:r>
              <w:rPr>
                <w:rFonts w:hint="eastAsia" w:ascii="仿宋_GB2312" w:eastAsia="仿宋_GB2312"/>
                <w:sz w:val="24"/>
              </w:rPr>
              <w:t>/人</w:t>
            </w:r>
          </w:p>
          <w:p w14:paraId="65B9C01E">
            <w:pPr>
              <w:spacing w:line="360" w:lineRule="exact"/>
              <w:ind w:right="-154" w:rightChars="-70"/>
              <w:jc w:val="both"/>
              <w:rPr>
                <w:rFonts w:hint="eastAsia" w:ascii="仿宋_GB2312" w:eastAsia="仿宋_GB2312"/>
                <w:sz w:val="24"/>
              </w:rPr>
            </w:pPr>
            <w:r>
              <w:rPr>
                <w:rFonts w:ascii="仿宋_GB2312" w:eastAsia="仿宋_GB2312"/>
                <w:sz w:val="24"/>
              </w:rPr>
              <w:sym w:font="Wingdings" w:char="00A8"/>
            </w:r>
            <w:r>
              <w:rPr>
                <w:rFonts w:hint="eastAsia" w:ascii="仿宋_GB2312" w:eastAsia="仿宋_GB2312"/>
                <w:sz w:val="24"/>
              </w:rPr>
              <w:t xml:space="preserve">岗位证书：1000元/本               </w:t>
            </w:r>
            <w:r>
              <w:rPr>
                <w:rFonts w:hint="eastAsia" w:ascii="仿宋_GB2312" w:eastAsia="仿宋_GB2312"/>
                <w:sz w:val="24"/>
                <w:lang w:val="en-US" w:eastAsia="zh-CN"/>
              </w:rPr>
              <w:t xml:space="preserve"> </w:t>
            </w:r>
            <w:r>
              <w:rPr>
                <w:rFonts w:ascii="仿宋_GB2312" w:eastAsia="仿宋_GB2312"/>
                <w:sz w:val="24"/>
              </w:rPr>
              <w:sym w:font="Wingdings" w:char="00A8"/>
            </w:r>
            <w:r>
              <w:rPr>
                <w:rFonts w:hint="eastAsia" w:ascii="仿宋_GB2312" w:eastAsia="仿宋_GB2312"/>
                <w:sz w:val="24"/>
              </w:rPr>
              <w:t>企业资质：3500元/单位/3年</w:t>
            </w:r>
          </w:p>
        </w:tc>
      </w:tr>
      <w:tr w14:paraId="7AE5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663" w:type="dxa"/>
          </w:tcPr>
          <w:p w14:paraId="55B49D4A">
            <w:pPr>
              <w:spacing w:line="360" w:lineRule="exact"/>
              <w:ind w:right="-154" w:rightChars="-70"/>
              <w:jc w:val="center"/>
              <w:rPr>
                <w:rFonts w:hint="eastAsia" w:ascii="仿宋_GB2312" w:eastAsia="仿宋_GB2312"/>
                <w:sz w:val="24"/>
              </w:rPr>
            </w:pPr>
            <w:r>
              <w:rPr>
                <w:rFonts w:ascii="仿宋_GB2312" w:eastAsia="仿宋_GB2312"/>
                <w:sz w:val="24"/>
              </w:rPr>
              <w:t>付款方式</w:t>
            </w:r>
          </w:p>
        </w:tc>
        <w:tc>
          <w:tcPr>
            <w:tcW w:w="5420" w:type="dxa"/>
            <w:gridSpan w:val="4"/>
          </w:tcPr>
          <w:p w14:paraId="2328D4DD">
            <w:pPr>
              <w:widowControl/>
              <w:spacing w:line="360" w:lineRule="exact"/>
              <w:ind w:right="-154" w:rightChars="-70"/>
              <w:jc w:val="both"/>
              <w:rPr>
                <w:rFonts w:hint="eastAsia" w:ascii="仿宋_GB2312" w:eastAsia="仿宋_GB2312"/>
                <w:sz w:val="24"/>
              </w:rPr>
            </w:pPr>
            <w:r>
              <w:rPr>
                <w:rFonts w:ascii="仿宋_GB2312" w:eastAsia="仿宋_GB2312"/>
                <w:sz w:val="24"/>
              </w:rPr>
              <w:sym w:font="Wingdings" w:char="00A8"/>
            </w:r>
            <w:r>
              <w:rPr>
                <w:rFonts w:ascii="仿宋_GB2312" w:eastAsia="仿宋_GB2312"/>
                <w:sz w:val="24"/>
              </w:rPr>
              <w:t xml:space="preserve">银行    </w:t>
            </w:r>
            <w:r>
              <w:rPr>
                <w:rFonts w:hint="eastAsia" w:ascii="仿宋_GB2312" w:eastAsia="仿宋_GB2312"/>
                <w:sz w:val="24"/>
              </w:rPr>
              <w:t xml:space="preserve"> </w:t>
            </w:r>
            <w:r>
              <w:rPr>
                <w:rFonts w:ascii="仿宋_GB2312" w:eastAsia="仿宋_GB2312"/>
                <w:sz w:val="24"/>
              </w:rPr>
              <w:sym w:font="Wingdings" w:char="00A8"/>
            </w:r>
            <w:r>
              <w:rPr>
                <w:rFonts w:ascii="仿宋_GB2312" w:eastAsia="仿宋_GB2312"/>
                <w:sz w:val="24"/>
              </w:rPr>
              <w:t>网银</w:t>
            </w:r>
            <w:r>
              <w:rPr>
                <w:rFonts w:hint="eastAsia" w:ascii="仿宋_GB2312" w:eastAsia="仿宋_GB2312"/>
                <w:sz w:val="24"/>
              </w:rPr>
              <w:t xml:space="preserve">    </w:t>
            </w:r>
            <w:r>
              <w:rPr>
                <w:rFonts w:ascii="仿宋_GB2312" w:eastAsia="仿宋_GB2312"/>
                <w:sz w:val="24"/>
              </w:rPr>
              <w:sym w:font="Wingdings" w:char="00A8"/>
            </w:r>
            <w:r>
              <w:rPr>
                <w:rFonts w:hint="eastAsia" w:ascii="仿宋_GB2312" w:eastAsia="仿宋_GB2312"/>
                <w:sz w:val="24"/>
              </w:rPr>
              <w:t xml:space="preserve">微信    </w:t>
            </w:r>
            <w:r>
              <w:rPr>
                <w:rFonts w:ascii="仿宋_GB2312" w:eastAsia="仿宋_GB2312"/>
                <w:sz w:val="24"/>
              </w:rPr>
              <w:sym w:font="Wingdings" w:char="00A8"/>
            </w:r>
            <w:r>
              <w:rPr>
                <w:rFonts w:hint="eastAsia" w:ascii="仿宋_GB2312" w:eastAsia="仿宋_GB2312"/>
                <w:sz w:val="24"/>
              </w:rPr>
              <w:t>支付宝</w:t>
            </w:r>
          </w:p>
        </w:tc>
        <w:tc>
          <w:tcPr>
            <w:tcW w:w="678" w:type="dxa"/>
          </w:tcPr>
          <w:p w14:paraId="14A71E59">
            <w:pPr>
              <w:widowControl/>
              <w:spacing w:line="360" w:lineRule="exact"/>
              <w:ind w:right="-154" w:rightChars="-70"/>
              <w:jc w:val="center"/>
              <w:rPr>
                <w:rFonts w:hint="eastAsia" w:ascii="仿宋_GB2312" w:eastAsia="仿宋_GB2312"/>
                <w:sz w:val="24"/>
              </w:rPr>
            </w:pPr>
            <w:r>
              <w:rPr>
                <w:rFonts w:ascii="仿宋_GB2312" w:eastAsia="仿宋_GB2312"/>
                <w:sz w:val="24"/>
              </w:rPr>
              <w:t>金额</w:t>
            </w:r>
          </w:p>
        </w:tc>
        <w:tc>
          <w:tcPr>
            <w:tcW w:w="1986" w:type="dxa"/>
            <w:gridSpan w:val="2"/>
          </w:tcPr>
          <w:p w14:paraId="639C5DE2">
            <w:pPr>
              <w:widowControl/>
              <w:spacing w:line="360" w:lineRule="exact"/>
              <w:ind w:right="-154" w:rightChars="-70"/>
              <w:jc w:val="center"/>
              <w:rPr>
                <w:rFonts w:hint="eastAsia" w:ascii="仿宋_GB2312" w:eastAsia="仿宋_GB2312"/>
                <w:sz w:val="24"/>
              </w:rPr>
            </w:pPr>
          </w:p>
        </w:tc>
      </w:tr>
      <w:tr w14:paraId="44D01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663" w:type="dxa"/>
            <w:vAlign w:val="center"/>
          </w:tcPr>
          <w:p w14:paraId="1FF73B47">
            <w:pPr>
              <w:spacing w:line="240" w:lineRule="exact"/>
              <w:ind w:right="-154" w:rightChars="-70"/>
              <w:jc w:val="center"/>
              <w:rPr>
                <w:rFonts w:hint="eastAsia" w:ascii="华文仿宋" w:hAnsi="华文仿宋" w:eastAsia="华文仿宋"/>
                <w:sz w:val="24"/>
              </w:rPr>
            </w:pPr>
            <w:r>
              <w:rPr>
                <w:rFonts w:ascii="华文仿宋" w:hAnsi="华文仿宋" w:eastAsia="华文仿宋"/>
                <w:sz w:val="24"/>
              </w:rPr>
              <w:t>收款账户</w:t>
            </w:r>
          </w:p>
          <w:p w14:paraId="1FE323DF">
            <w:pPr>
              <w:spacing w:line="240" w:lineRule="exact"/>
              <w:ind w:right="-154" w:rightChars="-70"/>
              <w:jc w:val="center"/>
              <w:rPr>
                <w:rFonts w:hint="eastAsia" w:ascii="华文仿宋" w:hAnsi="华文仿宋" w:eastAsia="华文仿宋"/>
                <w:sz w:val="24"/>
              </w:rPr>
            </w:pPr>
            <w:r>
              <w:rPr>
                <w:rFonts w:hint="eastAsia" w:ascii="华文仿宋" w:hAnsi="华文仿宋" w:eastAsia="华文仿宋"/>
                <w:sz w:val="24"/>
              </w:rPr>
              <w:t>(培训费)</w:t>
            </w:r>
          </w:p>
        </w:tc>
        <w:tc>
          <w:tcPr>
            <w:tcW w:w="8084" w:type="dxa"/>
            <w:gridSpan w:val="7"/>
            <w:vAlign w:val="center"/>
          </w:tcPr>
          <w:p w14:paraId="63093B86">
            <w:pPr>
              <w:spacing w:line="360" w:lineRule="exact"/>
              <w:ind w:right="-154" w:rightChars="-70"/>
              <w:jc w:val="left"/>
              <w:rPr>
                <w:rFonts w:ascii="仿宋_GB2312" w:eastAsia="仿宋_GB2312"/>
                <w:sz w:val="24"/>
                <w:lang w:val="en-US"/>
              </w:rPr>
            </w:pPr>
            <w:r>
              <w:rPr>
                <w:rFonts w:hint="eastAsia" w:ascii="仿宋_GB2312" w:eastAsia="仿宋_GB2312"/>
                <w:sz w:val="24"/>
                <w:lang w:val="en-US"/>
              </w:rPr>
              <w:t>名称：中至远大讲堂（北京）教育科技中心</w:t>
            </w:r>
          </w:p>
          <w:p w14:paraId="289D5569">
            <w:pPr>
              <w:spacing w:line="360" w:lineRule="exact"/>
              <w:ind w:right="-154" w:rightChars="-70"/>
              <w:jc w:val="left"/>
              <w:rPr>
                <w:rFonts w:ascii="仿宋_GB2312" w:eastAsia="仿宋_GB2312"/>
                <w:sz w:val="24"/>
                <w:lang w:val="en-US"/>
              </w:rPr>
            </w:pPr>
            <w:r>
              <w:rPr>
                <w:rFonts w:hint="eastAsia" w:ascii="仿宋_GB2312" w:eastAsia="仿宋_GB2312"/>
                <w:sz w:val="24"/>
                <w:lang w:val="en-US"/>
              </w:rPr>
              <w:t>开户行：中国工商银行股份有限公司北京大兴支行</w:t>
            </w:r>
          </w:p>
          <w:p w14:paraId="4AF91D27">
            <w:pPr>
              <w:spacing w:line="240" w:lineRule="exact"/>
              <w:ind w:right="-154" w:rightChars="-70"/>
              <w:jc w:val="left"/>
              <w:rPr>
                <w:rFonts w:hint="eastAsia" w:ascii="华文仿宋" w:hAnsi="华文仿宋" w:eastAsia="华文仿宋"/>
                <w:sz w:val="24"/>
              </w:rPr>
            </w:pPr>
            <w:r>
              <w:rPr>
                <w:rFonts w:hint="eastAsia" w:ascii="仿宋_GB2312" w:eastAsia="仿宋_GB2312"/>
                <w:sz w:val="24"/>
                <w:lang w:val="en-US"/>
              </w:rPr>
              <w:t>账号：0200011409024857444</w:t>
            </w:r>
          </w:p>
        </w:tc>
      </w:tr>
      <w:tr w14:paraId="55429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1663" w:type="dxa"/>
            <w:vAlign w:val="center"/>
          </w:tcPr>
          <w:p w14:paraId="4D521D1A">
            <w:pPr>
              <w:spacing w:line="360" w:lineRule="exact"/>
              <w:ind w:right="-154" w:rightChars="-70"/>
              <w:jc w:val="center"/>
              <w:rPr>
                <w:rFonts w:hint="eastAsia" w:ascii="仿宋_GB2312" w:eastAsia="仿宋_GB2312"/>
                <w:sz w:val="24"/>
              </w:rPr>
            </w:pPr>
            <w:r>
              <w:rPr>
                <w:rFonts w:ascii="仿宋_GB2312" w:eastAsia="仿宋_GB2312"/>
                <w:sz w:val="24"/>
              </w:rPr>
              <w:t>备注</w:t>
            </w:r>
          </w:p>
        </w:tc>
        <w:tc>
          <w:tcPr>
            <w:tcW w:w="5420" w:type="dxa"/>
            <w:gridSpan w:val="4"/>
            <w:vAlign w:val="center"/>
          </w:tcPr>
          <w:p w14:paraId="29A56C42">
            <w:pPr>
              <w:spacing w:line="360" w:lineRule="exact"/>
              <w:ind w:right="-154" w:rightChars="-70"/>
              <w:jc w:val="left"/>
              <w:rPr>
                <w:rFonts w:hint="eastAsia" w:ascii="仿宋_GB2312" w:eastAsia="仿宋_GB2312"/>
                <w:sz w:val="24"/>
              </w:rPr>
            </w:pPr>
            <w:r>
              <w:rPr>
                <w:rFonts w:ascii="仿宋_GB2312" w:eastAsia="仿宋_GB2312"/>
                <w:sz w:val="24"/>
              </w:rPr>
              <w:t>请将回执</w:t>
            </w:r>
            <w:r>
              <w:rPr>
                <w:rFonts w:hint="eastAsia" w:ascii="仿宋_GB2312" w:eastAsia="仿宋_GB2312"/>
                <w:sz w:val="24"/>
              </w:rPr>
              <w:t>发</w:t>
            </w:r>
            <w:r>
              <w:rPr>
                <w:rFonts w:ascii="仿宋_GB2312" w:eastAsia="仿宋_GB2312"/>
                <w:sz w:val="24"/>
              </w:rPr>
              <w:t>至会务组，在报名3日内将培训费通过银行或</w:t>
            </w:r>
            <w:r>
              <w:rPr>
                <w:rFonts w:hint="eastAsia" w:ascii="仿宋_GB2312" w:eastAsia="仿宋_GB2312"/>
                <w:sz w:val="24"/>
              </w:rPr>
              <w:t>其他</w:t>
            </w:r>
            <w:r>
              <w:rPr>
                <w:rFonts w:ascii="仿宋_GB2312" w:eastAsia="仿宋_GB2312"/>
                <w:sz w:val="24"/>
              </w:rPr>
              <w:t>等方式付款，会务组确认到款后</w:t>
            </w:r>
            <w:r>
              <w:rPr>
                <w:rFonts w:hint="eastAsia" w:ascii="仿宋_GB2312" w:eastAsia="仿宋_GB2312"/>
                <w:sz w:val="24"/>
              </w:rPr>
              <w:t>统一发送课程地点和安排</w:t>
            </w:r>
            <w:r>
              <w:rPr>
                <w:rFonts w:ascii="仿宋_GB2312" w:eastAsia="仿宋_GB2312"/>
                <w:sz w:val="24"/>
              </w:rPr>
              <w:t>，</w:t>
            </w:r>
            <w:r>
              <w:rPr>
                <w:rFonts w:hint="eastAsia" w:ascii="仿宋_GB2312" w:eastAsia="仿宋_GB2312"/>
                <w:sz w:val="24"/>
              </w:rPr>
              <w:t>视频课程地址链接</w:t>
            </w:r>
            <w:r>
              <w:rPr>
                <w:rFonts w:ascii="仿宋_GB2312" w:eastAsia="仿宋_GB2312"/>
                <w:sz w:val="24"/>
              </w:rPr>
              <w:t>等具体安排事项。</w:t>
            </w:r>
          </w:p>
        </w:tc>
        <w:tc>
          <w:tcPr>
            <w:tcW w:w="2664" w:type="dxa"/>
            <w:gridSpan w:val="3"/>
            <w:vAlign w:val="center"/>
          </w:tcPr>
          <w:p w14:paraId="6F0EAA2A">
            <w:pPr>
              <w:spacing w:line="360" w:lineRule="exact"/>
              <w:ind w:right="-154" w:rightChars="-70" w:firstLine="1080" w:firstLineChars="450"/>
              <w:jc w:val="center"/>
              <w:rPr>
                <w:rFonts w:hint="eastAsia" w:ascii="仿宋_GB2312" w:eastAsia="仿宋_GB2312"/>
                <w:sz w:val="24"/>
              </w:rPr>
            </w:pPr>
            <w:r>
              <w:rPr>
                <w:rFonts w:ascii="仿宋_GB2312" w:eastAsia="仿宋_GB2312"/>
                <w:sz w:val="24"/>
              </w:rPr>
              <w:t>单位印章</w:t>
            </w:r>
          </w:p>
          <w:p w14:paraId="67DE0ECA">
            <w:pPr>
              <w:spacing w:line="360" w:lineRule="exact"/>
              <w:ind w:right="-154" w:rightChars="-70" w:firstLine="720" w:firstLineChars="300"/>
              <w:jc w:val="center"/>
              <w:rPr>
                <w:rFonts w:hint="eastAsia" w:ascii="仿宋_GB2312" w:eastAsia="仿宋_GB2312"/>
                <w:sz w:val="24"/>
              </w:rPr>
            </w:pPr>
            <w:r>
              <w:rPr>
                <w:rFonts w:ascii="仿宋_GB2312" w:eastAsia="仿宋_GB2312"/>
                <w:sz w:val="24"/>
              </w:rPr>
              <w:t>202</w:t>
            </w:r>
            <w:r>
              <w:rPr>
                <w:rFonts w:hint="eastAsia" w:ascii="仿宋_GB2312" w:eastAsia="仿宋_GB2312"/>
                <w:sz w:val="24"/>
                <w:lang w:val="en-US"/>
              </w:rPr>
              <w:t>5</w:t>
            </w:r>
            <w:r>
              <w:rPr>
                <w:rFonts w:ascii="仿宋_GB2312" w:eastAsia="仿宋_GB2312"/>
                <w:sz w:val="24"/>
              </w:rPr>
              <w:t>年  月  日</w:t>
            </w:r>
          </w:p>
        </w:tc>
      </w:tr>
    </w:tbl>
    <w:p w14:paraId="38C6A736">
      <w:pPr>
        <w:autoSpaceDE/>
        <w:autoSpaceDN/>
        <w:jc w:val="both"/>
        <w:rPr>
          <w:rFonts w:hint="eastAsia"/>
          <w:color w:val="000000"/>
          <w:sz w:val="28"/>
          <w:szCs w:val="28"/>
          <w:lang w:val="en-US"/>
        </w:rPr>
      </w:pPr>
    </w:p>
    <w:p w14:paraId="4B265CD0">
      <w:pPr>
        <w:autoSpaceDE/>
        <w:autoSpaceDN/>
        <w:jc w:val="both"/>
        <w:rPr>
          <w:rFonts w:hint="eastAsia"/>
          <w:color w:val="000000"/>
          <w:sz w:val="28"/>
          <w:szCs w:val="28"/>
          <w:lang w:val="en-US"/>
        </w:rPr>
      </w:pPr>
      <w:r>
        <w:rPr>
          <w:rFonts w:hint="eastAsia"/>
          <w:color w:val="000000"/>
          <w:sz w:val="28"/>
          <w:szCs w:val="28"/>
          <w:lang w:val="en-US"/>
        </w:rPr>
        <w:t>备注：1.此表可复制，汇总名单后发送至会务组；</w:t>
      </w:r>
    </w:p>
    <w:p w14:paraId="397FB417">
      <w:pPr>
        <w:autoSpaceDE/>
        <w:autoSpaceDN/>
        <w:ind w:firstLine="840" w:firstLineChars="300"/>
        <w:jc w:val="both"/>
        <w:rPr>
          <w:rFonts w:hint="eastAsia"/>
          <w:color w:val="000000"/>
          <w:sz w:val="28"/>
          <w:szCs w:val="28"/>
          <w:lang w:val="en-US"/>
        </w:rPr>
      </w:pPr>
      <w:r>
        <w:rPr>
          <w:rFonts w:hint="eastAsia"/>
          <w:color w:val="000000"/>
          <w:sz w:val="28"/>
          <w:szCs w:val="28"/>
          <w:lang w:val="en-US"/>
        </w:rPr>
        <w:t>2.</w:t>
      </w:r>
      <w:r>
        <w:rPr>
          <w:rFonts w:hint="eastAsia"/>
          <w:color w:val="000000"/>
          <w:sz w:val="28"/>
          <w:szCs w:val="28"/>
        </w:rPr>
        <w:t>联系人：</w:t>
      </w:r>
      <w:r>
        <w:rPr>
          <w:rFonts w:hint="eastAsia"/>
          <w:color w:val="000000"/>
          <w:sz w:val="28"/>
          <w:szCs w:val="28"/>
          <w:lang w:val="en-US" w:eastAsia="zh-CN"/>
        </w:rPr>
        <w:t>王强松13522661366</w:t>
      </w:r>
      <w:r>
        <w:rPr>
          <w:rFonts w:hint="eastAsia"/>
          <w:color w:val="000000"/>
          <w:sz w:val="28"/>
          <w:szCs w:val="28"/>
          <w:lang w:val="en-US"/>
        </w:rPr>
        <w:t xml:space="preserve"> </w:t>
      </w:r>
      <w:r>
        <w:rPr>
          <w:rFonts w:hint="eastAsia"/>
          <w:color w:val="000000"/>
          <w:sz w:val="28"/>
          <w:szCs w:val="28"/>
        </w:rPr>
        <w:t>（同微信）</w:t>
      </w:r>
    </w:p>
    <w:sectPr>
      <w:footerReference r:id="rId3" w:type="default"/>
      <w:pgSz w:w="11910" w:h="16840"/>
      <w:pgMar w:top="1474" w:right="1134" w:bottom="1418" w:left="1247" w:header="0" w:footer="137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Arial"/>
    <w:panose1 w:val="020B0604020202020204"/>
    <w:charset w:val="80"/>
    <w:family w:val="swiss"/>
    <w:pitch w:val="default"/>
    <w:sig w:usb0="00000000" w:usb1="00000000" w:usb2="0000003F" w:usb3="00000000" w:csb0="003F01FF" w:csb1="00000000"/>
  </w:font>
  <w:font w:name="Helvetica Neue">
    <w:altName w:val="Sylfaen"/>
    <w:panose1 w:val="00000000000000000000"/>
    <w:charset w:val="00"/>
    <w:family w:val="auto"/>
    <w:pitch w:val="default"/>
    <w:sig w:usb0="00000000" w:usb1="00000000" w:usb2="00000010" w:usb3="00000000" w:csb0="00000001" w:csb1="00000000"/>
  </w:font>
  <w:font w:name="Sylfaen">
    <w:panose1 w:val="010A0502050306030303"/>
    <w:charset w:val="00"/>
    <w:family w:val="auto"/>
    <w:pitch w:val="default"/>
    <w:sig w:usb0="04000687" w:usb1="00000000" w:usb2="00000000" w:usb3="00000000" w:csb0="2000009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C6276">
    <w:pPr>
      <w:pStyle w:val="3"/>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19364">
                          <w:pPr>
                            <w:pStyle w:val="6"/>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9919364">
                    <w:pPr>
                      <w:pStyle w:val="6"/>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90FF2"/>
    <w:multiLevelType w:val="singleLevel"/>
    <w:tmpl w:val="83C90FF2"/>
    <w:lvl w:ilvl="0" w:tentative="0">
      <w:start w:val="1"/>
      <w:numFmt w:val="decimal"/>
      <w:lvlText w:val="%1."/>
      <w:lvlJc w:val="left"/>
      <w:pPr>
        <w:ind w:left="425" w:hanging="425"/>
      </w:pPr>
      <w:rPr>
        <w:rFonts w:hint="default" w:ascii="仿宋" w:hAnsi="仿宋" w:eastAsia="仿宋" w:cs="仿宋"/>
        <w:b w:val="0"/>
        <w:bCs w:val="0"/>
      </w:rPr>
    </w:lvl>
  </w:abstractNum>
  <w:abstractNum w:abstractNumId="1">
    <w:nsid w:val="87089465"/>
    <w:multiLevelType w:val="singleLevel"/>
    <w:tmpl w:val="87089465"/>
    <w:lvl w:ilvl="0" w:tentative="0">
      <w:start w:val="1"/>
      <w:numFmt w:val="decimal"/>
      <w:lvlText w:val="%1."/>
      <w:lvlJc w:val="left"/>
      <w:pPr>
        <w:ind w:left="425" w:hanging="425"/>
      </w:pPr>
      <w:rPr>
        <w:rFonts w:hint="default" w:ascii="仿宋" w:hAnsi="仿宋" w:eastAsia="仿宋" w:cs="仿宋"/>
        <w:b w:val="0"/>
        <w:bCs w:val="0"/>
      </w:rPr>
    </w:lvl>
  </w:abstractNum>
  <w:abstractNum w:abstractNumId="2">
    <w:nsid w:val="A2ABD9C4"/>
    <w:multiLevelType w:val="singleLevel"/>
    <w:tmpl w:val="A2ABD9C4"/>
    <w:lvl w:ilvl="0" w:tentative="0">
      <w:start w:val="1"/>
      <w:numFmt w:val="decimal"/>
      <w:lvlText w:val="%1."/>
      <w:lvlJc w:val="left"/>
      <w:pPr>
        <w:ind w:left="425" w:hanging="425"/>
      </w:pPr>
      <w:rPr>
        <w:rFonts w:hint="default" w:ascii="仿宋" w:hAnsi="仿宋" w:eastAsia="仿宋" w:cs="仿宋"/>
        <w:b w:val="0"/>
        <w:bCs w:val="0"/>
      </w:rPr>
    </w:lvl>
  </w:abstractNum>
  <w:abstractNum w:abstractNumId="3">
    <w:nsid w:val="AE7F6827"/>
    <w:multiLevelType w:val="singleLevel"/>
    <w:tmpl w:val="AE7F6827"/>
    <w:lvl w:ilvl="0" w:tentative="0">
      <w:start w:val="1"/>
      <w:numFmt w:val="decimal"/>
      <w:lvlText w:val="%1."/>
      <w:lvlJc w:val="left"/>
      <w:pPr>
        <w:ind w:left="425" w:hanging="425"/>
      </w:pPr>
      <w:rPr>
        <w:rFonts w:hint="default" w:ascii="仿宋" w:hAnsi="仿宋" w:eastAsia="仿宋" w:cs="仿宋"/>
        <w:b w:val="0"/>
        <w:bCs w:val="0"/>
      </w:rPr>
    </w:lvl>
  </w:abstractNum>
  <w:abstractNum w:abstractNumId="4">
    <w:nsid w:val="B085B192"/>
    <w:multiLevelType w:val="singleLevel"/>
    <w:tmpl w:val="B085B192"/>
    <w:lvl w:ilvl="0" w:tentative="0">
      <w:start w:val="1"/>
      <w:numFmt w:val="decimal"/>
      <w:lvlText w:val="%1."/>
      <w:lvlJc w:val="left"/>
      <w:pPr>
        <w:ind w:left="425" w:hanging="425"/>
      </w:pPr>
      <w:rPr>
        <w:rFonts w:hint="default"/>
      </w:rPr>
    </w:lvl>
  </w:abstractNum>
  <w:abstractNum w:abstractNumId="5">
    <w:nsid w:val="BBD174E2"/>
    <w:multiLevelType w:val="singleLevel"/>
    <w:tmpl w:val="BBD174E2"/>
    <w:lvl w:ilvl="0" w:tentative="0">
      <w:start w:val="1"/>
      <w:numFmt w:val="decimal"/>
      <w:lvlText w:val="%1."/>
      <w:lvlJc w:val="left"/>
      <w:pPr>
        <w:ind w:left="425" w:hanging="425"/>
      </w:pPr>
      <w:rPr>
        <w:rFonts w:hint="default" w:ascii="仿宋" w:hAnsi="仿宋" w:eastAsia="仿宋" w:cs="仿宋"/>
        <w:b w:val="0"/>
        <w:bCs w:val="0"/>
      </w:rPr>
    </w:lvl>
  </w:abstractNum>
  <w:abstractNum w:abstractNumId="6">
    <w:nsid w:val="BEDD18BC"/>
    <w:multiLevelType w:val="singleLevel"/>
    <w:tmpl w:val="BEDD18BC"/>
    <w:lvl w:ilvl="0" w:tentative="0">
      <w:start w:val="1"/>
      <w:numFmt w:val="decimal"/>
      <w:lvlText w:val="%1."/>
      <w:lvlJc w:val="left"/>
      <w:pPr>
        <w:ind w:left="425" w:hanging="425"/>
      </w:pPr>
      <w:rPr>
        <w:rFonts w:hint="default" w:ascii="仿宋" w:hAnsi="仿宋" w:eastAsia="仿宋" w:cs="仿宋"/>
        <w:b w:val="0"/>
        <w:bCs w:val="0"/>
      </w:rPr>
    </w:lvl>
  </w:abstractNum>
  <w:abstractNum w:abstractNumId="7">
    <w:nsid w:val="C7617C8F"/>
    <w:multiLevelType w:val="singleLevel"/>
    <w:tmpl w:val="C7617C8F"/>
    <w:lvl w:ilvl="0" w:tentative="0">
      <w:start w:val="1"/>
      <w:numFmt w:val="decimal"/>
      <w:lvlText w:val="%1."/>
      <w:lvlJc w:val="left"/>
      <w:pPr>
        <w:ind w:left="425" w:hanging="425"/>
      </w:pPr>
      <w:rPr>
        <w:rFonts w:hint="default" w:ascii="仿宋" w:hAnsi="仿宋" w:eastAsia="仿宋" w:cs="仿宋"/>
        <w:b w:val="0"/>
        <w:bCs w:val="0"/>
      </w:rPr>
    </w:lvl>
  </w:abstractNum>
  <w:abstractNum w:abstractNumId="8">
    <w:nsid w:val="00F74E0C"/>
    <w:multiLevelType w:val="singleLevel"/>
    <w:tmpl w:val="00F74E0C"/>
    <w:lvl w:ilvl="0" w:tentative="0">
      <w:start w:val="1"/>
      <w:numFmt w:val="decimal"/>
      <w:lvlText w:val="%1."/>
      <w:lvlJc w:val="left"/>
      <w:pPr>
        <w:ind w:left="425" w:hanging="425"/>
      </w:pPr>
      <w:rPr>
        <w:rFonts w:hint="default"/>
        <w:b w:val="0"/>
        <w:bCs w:val="0"/>
      </w:rPr>
    </w:lvl>
  </w:abstractNum>
  <w:abstractNum w:abstractNumId="9">
    <w:nsid w:val="0531C05A"/>
    <w:multiLevelType w:val="singleLevel"/>
    <w:tmpl w:val="0531C05A"/>
    <w:lvl w:ilvl="0" w:tentative="0">
      <w:start w:val="1"/>
      <w:numFmt w:val="decimal"/>
      <w:lvlText w:val="%1."/>
      <w:lvlJc w:val="left"/>
      <w:pPr>
        <w:ind w:left="425" w:hanging="425"/>
      </w:pPr>
      <w:rPr>
        <w:rFonts w:hint="default" w:ascii="仿宋" w:hAnsi="仿宋" w:eastAsia="仿宋" w:cs="仿宋"/>
        <w:b w:val="0"/>
        <w:bCs w:val="0"/>
      </w:rPr>
    </w:lvl>
  </w:abstractNum>
  <w:abstractNum w:abstractNumId="10">
    <w:nsid w:val="1015D817"/>
    <w:multiLevelType w:val="singleLevel"/>
    <w:tmpl w:val="1015D817"/>
    <w:lvl w:ilvl="0" w:tentative="0">
      <w:start w:val="1"/>
      <w:numFmt w:val="decimal"/>
      <w:lvlText w:val="%1."/>
      <w:lvlJc w:val="left"/>
      <w:pPr>
        <w:ind w:left="425" w:hanging="425"/>
      </w:pPr>
      <w:rPr>
        <w:rFonts w:hint="default"/>
      </w:rPr>
    </w:lvl>
  </w:abstractNum>
  <w:abstractNum w:abstractNumId="11">
    <w:nsid w:val="1B70C090"/>
    <w:multiLevelType w:val="singleLevel"/>
    <w:tmpl w:val="1B70C090"/>
    <w:lvl w:ilvl="0" w:tentative="0">
      <w:start w:val="1"/>
      <w:numFmt w:val="decimal"/>
      <w:lvlText w:val="%1."/>
      <w:lvlJc w:val="left"/>
      <w:pPr>
        <w:ind w:left="425" w:hanging="425"/>
      </w:pPr>
      <w:rPr>
        <w:rFonts w:hint="default" w:ascii="仿宋" w:hAnsi="仿宋" w:eastAsia="仿宋" w:cs="仿宋"/>
        <w:b w:val="0"/>
        <w:bCs w:val="0"/>
      </w:rPr>
    </w:lvl>
  </w:abstractNum>
  <w:abstractNum w:abstractNumId="12">
    <w:nsid w:val="2E8F3B73"/>
    <w:multiLevelType w:val="multilevel"/>
    <w:tmpl w:val="2E8F3B73"/>
    <w:lvl w:ilvl="0" w:tentative="0">
      <w:start w:val="1"/>
      <w:numFmt w:val="decimal"/>
      <w:lvlText w:val="%1."/>
      <w:lvlJc w:val="left"/>
      <w:pPr>
        <w:ind w:left="440" w:hanging="440"/>
      </w:pPr>
      <w:rPr>
        <w:rFonts w:hint="eastAsia"/>
        <w:b w:val="0"/>
        <w:bCs/>
        <w:sz w:val="32"/>
        <w:szCs w:val="32"/>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3D630761"/>
    <w:multiLevelType w:val="singleLevel"/>
    <w:tmpl w:val="3D630761"/>
    <w:lvl w:ilvl="0" w:tentative="0">
      <w:start w:val="1"/>
      <w:numFmt w:val="decimal"/>
      <w:lvlText w:val="%1."/>
      <w:lvlJc w:val="left"/>
      <w:pPr>
        <w:ind w:left="425" w:hanging="425"/>
      </w:pPr>
      <w:rPr>
        <w:rFonts w:hint="default" w:ascii="仿宋" w:hAnsi="仿宋" w:eastAsia="仿宋" w:cs="仿宋"/>
        <w:b w:val="0"/>
        <w:bCs w:val="0"/>
      </w:rPr>
    </w:lvl>
  </w:abstractNum>
  <w:abstractNum w:abstractNumId="14">
    <w:nsid w:val="3DB74135"/>
    <w:multiLevelType w:val="singleLevel"/>
    <w:tmpl w:val="3DB74135"/>
    <w:lvl w:ilvl="0" w:tentative="0">
      <w:start w:val="1"/>
      <w:numFmt w:val="decimal"/>
      <w:lvlText w:val="%1."/>
      <w:lvlJc w:val="left"/>
      <w:pPr>
        <w:ind w:left="425" w:hanging="425"/>
      </w:pPr>
      <w:rPr>
        <w:rFonts w:hint="default" w:ascii="仿宋" w:hAnsi="仿宋" w:eastAsia="仿宋" w:cs="仿宋"/>
        <w:b w:val="0"/>
        <w:bCs w:val="0"/>
      </w:rPr>
    </w:lvl>
  </w:abstractNum>
  <w:abstractNum w:abstractNumId="15">
    <w:nsid w:val="41F393A5"/>
    <w:multiLevelType w:val="multilevel"/>
    <w:tmpl w:val="41F393A5"/>
    <w:lvl w:ilvl="0" w:tentative="0">
      <w:start w:val="1"/>
      <w:numFmt w:val="decimal"/>
      <w:lvlText w:val="%1."/>
      <w:lvlJc w:val="left"/>
      <w:pPr>
        <w:ind w:left="440" w:hanging="440"/>
      </w:pPr>
      <w:rPr>
        <w:rFonts w:hint="eastAsia"/>
        <w:b w:val="0"/>
        <w:bCs/>
        <w:sz w:val="32"/>
        <w:szCs w:val="32"/>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519F5976"/>
    <w:multiLevelType w:val="multilevel"/>
    <w:tmpl w:val="519F5976"/>
    <w:lvl w:ilvl="0" w:tentative="0">
      <w:start w:val="1"/>
      <w:numFmt w:val="decimal"/>
      <w:lvlText w:val="%1."/>
      <w:lvlJc w:val="left"/>
      <w:pPr>
        <w:ind w:left="440" w:hanging="440"/>
      </w:pPr>
      <w:rPr>
        <w:rFonts w:hint="default"/>
        <w:b w:val="0"/>
        <w:bCs/>
        <w:sz w:val="32"/>
        <w:szCs w:val="32"/>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56D950AB"/>
    <w:multiLevelType w:val="singleLevel"/>
    <w:tmpl w:val="56D950AB"/>
    <w:lvl w:ilvl="0" w:tentative="0">
      <w:start w:val="1"/>
      <w:numFmt w:val="decimal"/>
      <w:lvlText w:val="%1."/>
      <w:lvlJc w:val="left"/>
      <w:pPr>
        <w:ind w:left="425" w:hanging="425"/>
      </w:pPr>
      <w:rPr>
        <w:rFonts w:hint="default"/>
        <w:b w:val="0"/>
        <w:bCs w:val="0"/>
      </w:rPr>
    </w:lvl>
  </w:abstractNum>
  <w:abstractNum w:abstractNumId="18">
    <w:nsid w:val="57B1EABB"/>
    <w:multiLevelType w:val="singleLevel"/>
    <w:tmpl w:val="57B1EABB"/>
    <w:lvl w:ilvl="0" w:tentative="0">
      <w:start w:val="1"/>
      <w:numFmt w:val="decimal"/>
      <w:lvlText w:val="%1."/>
      <w:lvlJc w:val="left"/>
      <w:pPr>
        <w:ind w:left="425" w:hanging="425"/>
      </w:pPr>
      <w:rPr>
        <w:rFonts w:hint="default" w:ascii="仿宋" w:hAnsi="仿宋" w:eastAsia="仿宋" w:cs="仿宋"/>
        <w:b w:val="0"/>
        <w:bCs w:val="0"/>
      </w:rPr>
    </w:lvl>
  </w:abstractNum>
  <w:abstractNum w:abstractNumId="19">
    <w:nsid w:val="60EA427A"/>
    <w:multiLevelType w:val="multilevel"/>
    <w:tmpl w:val="60EA427A"/>
    <w:lvl w:ilvl="0" w:tentative="0">
      <w:start w:val="1"/>
      <w:numFmt w:val="decimal"/>
      <w:lvlText w:val="%1."/>
      <w:lvlJc w:val="left"/>
      <w:pPr>
        <w:ind w:left="440" w:hanging="440"/>
      </w:pPr>
      <w:rPr>
        <w:rFonts w:hint="eastAsia"/>
        <w:b w:val="0"/>
        <w:bCs/>
        <w:sz w:val="32"/>
        <w:szCs w:val="32"/>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0">
    <w:nsid w:val="69FE7DDA"/>
    <w:multiLevelType w:val="multilevel"/>
    <w:tmpl w:val="69FE7DDA"/>
    <w:lvl w:ilvl="0" w:tentative="0">
      <w:start w:val="1"/>
      <w:numFmt w:val="decimal"/>
      <w:lvlText w:val="%1."/>
      <w:lvlJc w:val="left"/>
      <w:pPr>
        <w:ind w:left="440" w:hanging="440"/>
      </w:pPr>
      <w:rPr>
        <w:rFonts w:hint="eastAsia"/>
        <w:b w:val="0"/>
        <w:bCs/>
        <w:sz w:val="32"/>
        <w:szCs w:val="32"/>
      </w:rPr>
    </w:lvl>
    <w:lvl w:ilvl="1" w:tentative="0">
      <w:start w:val="1"/>
      <w:numFmt w:val="japaneseCounting"/>
      <w:lvlText w:val="（%2）"/>
      <w:lvlJc w:val="left"/>
      <w:pPr>
        <w:ind w:left="1520" w:hanging="108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4"/>
  </w:num>
  <w:num w:numId="2">
    <w:abstractNumId w:val="10"/>
  </w:num>
  <w:num w:numId="3">
    <w:abstractNumId w:val="4"/>
  </w:num>
  <w:num w:numId="4">
    <w:abstractNumId w:val="8"/>
  </w:num>
  <w:num w:numId="5">
    <w:abstractNumId w:val="17"/>
  </w:num>
  <w:num w:numId="6">
    <w:abstractNumId w:val="16"/>
  </w:num>
  <w:num w:numId="7">
    <w:abstractNumId w:val="15"/>
  </w:num>
  <w:num w:numId="8">
    <w:abstractNumId w:val="19"/>
  </w:num>
  <w:num w:numId="9">
    <w:abstractNumId w:val="12"/>
  </w:num>
  <w:num w:numId="10">
    <w:abstractNumId w:val="0"/>
  </w:num>
  <w:num w:numId="11">
    <w:abstractNumId w:val="1"/>
  </w:num>
  <w:num w:numId="12">
    <w:abstractNumId w:val="9"/>
  </w:num>
  <w:num w:numId="13">
    <w:abstractNumId w:val="7"/>
  </w:num>
  <w:num w:numId="14">
    <w:abstractNumId w:val="13"/>
  </w:num>
  <w:num w:numId="15">
    <w:abstractNumId w:val="18"/>
  </w:num>
  <w:num w:numId="16">
    <w:abstractNumId w:val="2"/>
  </w:num>
  <w:num w:numId="17">
    <w:abstractNumId w:val="6"/>
  </w:num>
  <w:num w:numId="18">
    <w:abstractNumId w:val="11"/>
  </w:num>
  <w:num w:numId="19">
    <w:abstractNumId w:val="5"/>
  </w:num>
  <w:num w:numId="20">
    <w:abstractNumId w:val="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2MzdjN2IxYjRiYjRlMzE5OGU0Njk4NDJhMzlmMmIifQ=="/>
  </w:docVars>
  <w:rsids>
    <w:rsidRoot w:val="00CC7C54"/>
    <w:rsid w:val="00000A88"/>
    <w:rsid w:val="00002180"/>
    <w:rsid w:val="00003FC0"/>
    <w:rsid w:val="00015F48"/>
    <w:rsid w:val="000226B7"/>
    <w:rsid w:val="000228CF"/>
    <w:rsid w:val="000378AC"/>
    <w:rsid w:val="0004489A"/>
    <w:rsid w:val="00051AC9"/>
    <w:rsid w:val="00052935"/>
    <w:rsid w:val="00053C63"/>
    <w:rsid w:val="0005460C"/>
    <w:rsid w:val="00057A92"/>
    <w:rsid w:val="00057D34"/>
    <w:rsid w:val="00060B84"/>
    <w:rsid w:val="0006312E"/>
    <w:rsid w:val="00065D47"/>
    <w:rsid w:val="00066705"/>
    <w:rsid w:val="00072A8A"/>
    <w:rsid w:val="00072F0F"/>
    <w:rsid w:val="00075614"/>
    <w:rsid w:val="00075737"/>
    <w:rsid w:val="0008152D"/>
    <w:rsid w:val="000831BC"/>
    <w:rsid w:val="00083612"/>
    <w:rsid w:val="00083CD2"/>
    <w:rsid w:val="00084402"/>
    <w:rsid w:val="00085B3E"/>
    <w:rsid w:val="0008674A"/>
    <w:rsid w:val="00090D2D"/>
    <w:rsid w:val="00090FBA"/>
    <w:rsid w:val="00092007"/>
    <w:rsid w:val="00095A14"/>
    <w:rsid w:val="000973A6"/>
    <w:rsid w:val="000A1318"/>
    <w:rsid w:val="000A3D73"/>
    <w:rsid w:val="000A58F8"/>
    <w:rsid w:val="000A5BCD"/>
    <w:rsid w:val="000A7ADA"/>
    <w:rsid w:val="000B5575"/>
    <w:rsid w:val="000C0870"/>
    <w:rsid w:val="000C0B21"/>
    <w:rsid w:val="000C3A01"/>
    <w:rsid w:val="000C487F"/>
    <w:rsid w:val="000C78AA"/>
    <w:rsid w:val="000D19BD"/>
    <w:rsid w:val="000D1FAE"/>
    <w:rsid w:val="000D3A16"/>
    <w:rsid w:val="000D3B02"/>
    <w:rsid w:val="000D6688"/>
    <w:rsid w:val="000E1E0F"/>
    <w:rsid w:val="000E22C6"/>
    <w:rsid w:val="000E360F"/>
    <w:rsid w:val="000E4551"/>
    <w:rsid w:val="000E559A"/>
    <w:rsid w:val="000F11CD"/>
    <w:rsid w:val="000F23B3"/>
    <w:rsid w:val="000F6FB4"/>
    <w:rsid w:val="0010066A"/>
    <w:rsid w:val="00101028"/>
    <w:rsid w:val="001025AA"/>
    <w:rsid w:val="0010528B"/>
    <w:rsid w:val="00112211"/>
    <w:rsid w:val="00114A5A"/>
    <w:rsid w:val="00114D84"/>
    <w:rsid w:val="00122AAC"/>
    <w:rsid w:val="00123A63"/>
    <w:rsid w:val="001260EC"/>
    <w:rsid w:val="0012619B"/>
    <w:rsid w:val="00126D1D"/>
    <w:rsid w:val="00134BE4"/>
    <w:rsid w:val="00134D54"/>
    <w:rsid w:val="00137123"/>
    <w:rsid w:val="001421FF"/>
    <w:rsid w:val="0014349F"/>
    <w:rsid w:val="00143524"/>
    <w:rsid w:val="001456B0"/>
    <w:rsid w:val="00145CB1"/>
    <w:rsid w:val="001474D9"/>
    <w:rsid w:val="00152462"/>
    <w:rsid w:val="0015249D"/>
    <w:rsid w:val="00156CE9"/>
    <w:rsid w:val="00160C46"/>
    <w:rsid w:val="0016166D"/>
    <w:rsid w:val="001716CC"/>
    <w:rsid w:val="00172A7B"/>
    <w:rsid w:val="00173AAF"/>
    <w:rsid w:val="001747A0"/>
    <w:rsid w:val="00176D2D"/>
    <w:rsid w:val="00181676"/>
    <w:rsid w:val="00181D40"/>
    <w:rsid w:val="001823AF"/>
    <w:rsid w:val="00183BB9"/>
    <w:rsid w:val="00184791"/>
    <w:rsid w:val="0018637C"/>
    <w:rsid w:val="00190D47"/>
    <w:rsid w:val="00192FFA"/>
    <w:rsid w:val="001945D8"/>
    <w:rsid w:val="00194EDA"/>
    <w:rsid w:val="001956C6"/>
    <w:rsid w:val="001A34AB"/>
    <w:rsid w:val="001B0A8A"/>
    <w:rsid w:val="001B1258"/>
    <w:rsid w:val="001B1C05"/>
    <w:rsid w:val="001B4CF4"/>
    <w:rsid w:val="001B4EAB"/>
    <w:rsid w:val="001C2294"/>
    <w:rsid w:val="001C31BA"/>
    <w:rsid w:val="001C3221"/>
    <w:rsid w:val="001C34C1"/>
    <w:rsid w:val="001C4AF0"/>
    <w:rsid w:val="001C4DFA"/>
    <w:rsid w:val="001E6F65"/>
    <w:rsid w:val="001F780A"/>
    <w:rsid w:val="0020003B"/>
    <w:rsid w:val="0020070E"/>
    <w:rsid w:val="00202D64"/>
    <w:rsid w:val="00212426"/>
    <w:rsid w:val="00216677"/>
    <w:rsid w:val="00220C03"/>
    <w:rsid w:val="00220F0F"/>
    <w:rsid w:val="00223C6D"/>
    <w:rsid w:val="00224296"/>
    <w:rsid w:val="00230918"/>
    <w:rsid w:val="0023612A"/>
    <w:rsid w:val="002364C3"/>
    <w:rsid w:val="002374F9"/>
    <w:rsid w:val="002414BB"/>
    <w:rsid w:val="00244ED9"/>
    <w:rsid w:val="0024619E"/>
    <w:rsid w:val="00250212"/>
    <w:rsid w:val="002538BC"/>
    <w:rsid w:val="00254F7A"/>
    <w:rsid w:val="002617B2"/>
    <w:rsid w:val="0026291C"/>
    <w:rsid w:val="00266FDB"/>
    <w:rsid w:val="002674DB"/>
    <w:rsid w:val="00271CE5"/>
    <w:rsid w:val="002733B7"/>
    <w:rsid w:val="00277ADF"/>
    <w:rsid w:val="00280C9C"/>
    <w:rsid w:val="00287BF0"/>
    <w:rsid w:val="00291504"/>
    <w:rsid w:val="002947EF"/>
    <w:rsid w:val="00295294"/>
    <w:rsid w:val="00297E2F"/>
    <w:rsid w:val="002B0A0B"/>
    <w:rsid w:val="002B63FB"/>
    <w:rsid w:val="002B6895"/>
    <w:rsid w:val="002C3305"/>
    <w:rsid w:val="002C5B90"/>
    <w:rsid w:val="002C6F8E"/>
    <w:rsid w:val="002D123A"/>
    <w:rsid w:val="002D40CD"/>
    <w:rsid w:val="002D7E18"/>
    <w:rsid w:val="002E5BED"/>
    <w:rsid w:val="002E6EED"/>
    <w:rsid w:val="002F6F56"/>
    <w:rsid w:val="00300127"/>
    <w:rsid w:val="00302DD7"/>
    <w:rsid w:val="003040B0"/>
    <w:rsid w:val="00306FA0"/>
    <w:rsid w:val="00314D6D"/>
    <w:rsid w:val="00315BD4"/>
    <w:rsid w:val="00317638"/>
    <w:rsid w:val="00327F27"/>
    <w:rsid w:val="00335EC8"/>
    <w:rsid w:val="003438B5"/>
    <w:rsid w:val="0034401E"/>
    <w:rsid w:val="0034444B"/>
    <w:rsid w:val="00355F9C"/>
    <w:rsid w:val="00360A2F"/>
    <w:rsid w:val="003627D9"/>
    <w:rsid w:val="00365735"/>
    <w:rsid w:val="0036687F"/>
    <w:rsid w:val="00366E1E"/>
    <w:rsid w:val="003675E6"/>
    <w:rsid w:val="0037172F"/>
    <w:rsid w:val="00374D9A"/>
    <w:rsid w:val="0038184C"/>
    <w:rsid w:val="00382CEA"/>
    <w:rsid w:val="0038352D"/>
    <w:rsid w:val="00392F9C"/>
    <w:rsid w:val="003A245E"/>
    <w:rsid w:val="003A5263"/>
    <w:rsid w:val="003A5593"/>
    <w:rsid w:val="003A6753"/>
    <w:rsid w:val="003B0763"/>
    <w:rsid w:val="003B1891"/>
    <w:rsid w:val="003B4170"/>
    <w:rsid w:val="003B535B"/>
    <w:rsid w:val="003B6F94"/>
    <w:rsid w:val="003C3AEB"/>
    <w:rsid w:val="003C4464"/>
    <w:rsid w:val="003C571D"/>
    <w:rsid w:val="003D1573"/>
    <w:rsid w:val="003D30A4"/>
    <w:rsid w:val="003D4C52"/>
    <w:rsid w:val="003D7981"/>
    <w:rsid w:val="003E0856"/>
    <w:rsid w:val="003E2A58"/>
    <w:rsid w:val="003E6654"/>
    <w:rsid w:val="003F36AA"/>
    <w:rsid w:val="003F3DD2"/>
    <w:rsid w:val="00401937"/>
    <w:rsid w:val="00401F50"/>
    <w:rsid w:val="004052AD"/>
    <w:rsid w:val="00405D97"/>
    <w:rsid w:val="00406641"/>
    <w:rsid w:val="004067DF"/>
    <w:rsid w:val="0040746C"/>
    <w:rsid w:val="00412311"/>
    <w:rsid w:val="00414702"/>
    <w:rsid w:val="004163F6"/>
    <w:rsid w:val="00416E49"/>
    <w:rsid w:val="00422F1E"/>
    <w:rsid w:val="004241D7"/>
    <w:rsid w:val="00434DFF"/>
    <w:rsid w:val="0043502F"/>
    <w:rsid w:val="00442799"/>
    <w:rsid w:val="00442FF0"/>
    <w:rsid w:val="004436F0"/>
    <w:rsid w:val="00445BFD"/>
    <w:rsid w:val="004475BA"/>
    <w:rsid w:val="004529E0"/>
    <w:rsid w:val="00452AF3"/>
    <w:rsid w:val="00460666"/>
    <w:rsid w:val="00460721"/>
    <w:rsid w:val="00461786"/>
    <w:rsid w:val="00462506"/>
    <w:rsid w:val="00462F32"/>
    <w:rsid w:val="0046366F"/>
    <w:rsid w:val="00463A3A"/>
    <w:rsid w:val="0046455B"/>
    <w:rsid w:val="004649AA"/>
    <w:rsid w:val="004669BD"/>
    <w:rsid w:val="004733D2"/>
    <w:rsid w:val="00474C59"/>
    <w:rsid w:val="004801B9"/>
    <w:rsid w:val="0048264D"/>
    <w:rsid w:val="004839C4"/>
    <w:rsid w:val="004A2A65"/>
    <w:rsid w:val="004B03AE"/>
    <w:rsid w:val="004B3342"/>
    <w:rsid w:val="004B48A3"/>
    <w:rsid w:val="004B4981"/>
    <w:rsid w:val="004B7096"/>
    <w:rsid w:val="004C0248"/>
    <w:rsid w:val="004C13E8"/>
    <w:rsid w:val="004D2500"/>
    <w:rsid w:val="004D5194"/>
    <w:rsid w:val="004D7CEF"/>
    <w:rsid w:val="004E1A31"/>
    <w:rsid w:val="004E2090"/>
    <w:rsid w:val="004E27D7"/>
    <w:rsid w:val="004E33C5"/>
    <w:rsid w:val="004E500E"/>
    <w:rsid w:val="004F2BBE"/>
    <w:rsid w:val="004F43EE"/>
    <w:rsid w:val="00501719"/>
    <w:rsid w:val="005065FB"/>
    <w:rsid w:val="00507B6F"/>
    <w:rsid w:val="005111A8"/>
    <w:rsid w:val="00515B2E"/>
    <w:rsid w:val="00520788"/>
    <w:rsid w:val="00522ABE"/>
    <w:rsid w:val="00526E45"/>
    <w:rsid w:val="00536A46"/>
    <w:rsid w:val="00536E8C"/>
    <w:rsid w:val="00542474"/>
    <w:rsid w:val="00547D3D"/>
    <w:rsid w:val="00550E6D"/>
    <w:rsid w:val="00552E1D"/>
    <w:rsid w:val="00556EAF"/>
    <w:rsid w:val="00557F3F"/>
    <w:rsid w:val="005601D4"/>
    <w:rsid w:val="00562C26"/>
    <w:rsid w:val="005631B7"/>
    <w:rsid w:val="005636CA"/>
    <w:rsid w:val="00570C6A"/>
    <w:rsid w:val="0057406C"/>
    <w:rsid w:val="0058363C"/>
    <w:rsid w:val="00583824"/>
    <w:rsid w:val="00584075"/>
    <w:rsid w:val="005948F0"/>
    <w:rsid w:val="0059618C"/>
    <w:rsid w:val="00596322"/>
    <w:rsid w:val="00596D16"/>
    <w:rsid w:val="00597C93"/>
    <w:rsid w:val="005A0117"/>
    <w:rsid w:val="005A10B7"/>
    <w:rsid w:val="005A3241"/>
    <w:rsid w:val="005A6531"/>
    <w:rsid w:val="005A703D"/>
    <w:rsid w:val="005B1EE2"/>
    <w:rsid w:val="005C0052"/>
    <w:rsid w:val="005D2672"/>
    <w:rsid w:val="005D79D8"/>
    <w:rsid w:val="005E02A9"/>
    <w:rsid w:val="005E3F2F"/>
    <w:rsid w:val="005E457A"/>
    <w:rsid w:val="005E5568"/>
    <w:rsid w:val="005E7534"/>
    <w:rsid w:val="005F0180"/>
    <w:rsid w:val="00606310"/>
    <w:rsid w:val="00606B60"/>
    <w:rsid w:val="00614263"/>
    <w:rsid w:val="00616781"/>
    <w:rsid w:val="00616E0B"/>
    <w:rsid w:val="006171EA"/>
    <w:rsid w:val="00617A66"/>
    <w:rsid w:val="0062181C"/>
    <w:rsid w:val="00621D10"/>
    <w:rsid w:val="006230B7"/>
    <w:rsid w:val="00623E05"/>
    <w:rsid w:val="00630B55"/>
    <w:rsid w:val="00631B0C"/>
    <w:rsid w:val="00633C79"/>
    <w:rsid w:val="00640D90"/>
    <w:rsid w:val="006416B5"/>
    <w:rsid w:val="00644966"/>
    <w:rsid w:val="00646F76"/>
    <w:rsid w:val="0064759E"/>
    <w:rsid w:val="00651943"/>
    <w:rsid w:val="00654BFC"/>
    <w:rsid w:val="00657B38"/>
    <w:rsid w:val="0066478C"/>
    <w:rsid w:val="0066736C"/>
    <w:rsid w:val="00671948"/>
    <w:rsid w:val="006726EC"/>
    <w:rsid w:val="00672A1A"/>
    <w:rsid w:val="00674703"/>
    <w:rsid w:val="00684953"/>
    <w:rsid w:val="00685668"/>
    <w:rsid w:val="00691AD4"/>
    <w:rsid w:val="00692418"/>
    <w:rsid w:val="0069460A"/>
    <w:rsid w:val="006A03B2"/>
    <w:rsid w:val="006A3672"/>
    <w:rsid w:val="006A68B6"/>
    <w:rsid w:val="006B06BD"/>
    <w:rsid w:val="006B11E9"/>
    <w:rsid w:val="006B391B"/>
    <w:rsid w:val="006B4851"/>
    <w:rsid w:val="006B60A2"/>
    <w:rsid w:val="006B65E1"/>
    <w:rsid w:val="006C2887"/>
    <w:rsid w:val="006C6BBC"/>
    <w:rsid w:val="006C6F3F"/>
    <w:rsid w:val="006C793B"/>
    <w:rsid w:val="006D1895"/>
    <w:rsid w:val="006D3233"/>
    <w:rsid w:val="006D5471"/>
    <w:rsid w:val="006D6CEA"/>
    <w:rsid w:val="006E6832"/>
    <w:rsid w:val="006E73CC"/>
    <w:rsid w:val="0070066E"/>
    <w:rsid w:val="00701C61"/>
    <w:rsid w:val="00706D84"/>
    <w:rsid w:val="0071034B"/>
    <w:rsid w:val="0071042D"/>
    <w:rsid w:val="00712046"/>
    <w:rsid w:val="00712110"/>
    <w:rsid w:val="007145AE"/>
    <w:rsid w:val="00714606"/>
    <w:rsid w:val="00717777"/>
    <w:rsid w:val="0072045A"/>
    <w:rsid w:val="00720D91"/>
    <w:rsid w:val="007212E4"/>
    <w:rsid w:val="007230AC"/>
    <w:rsid w:val="00725B73"/>
    <w:rsid w:val="007264A3"/>
    <w:rsid w:val="00731F52"/>
    <w:rsid w:val="00732876"/>
    <w:rsid w:val="00734521"/>
    <w:rsid w:val="007426C8"/>
    <w:rsid w:val="00743DF1"/>
    <w:rsid w:val="00754E93"/>
    <w:rsid w:val="0075713D"/>
    <w:rsid w:val="0075753F"/>
    <w:rsid w:val="007607D8"/>
    <w:rsid w:val="00761204"/>
    <w:rsid w:val="007651A5"/>
    <w:rsid w:val="0076541D"/>
    <w:rsid w:val="00770DEE"/>
    <w:rsid w:val="0077131B"/>
    <w:rsid w:val="00772302"/>
    <w:rsid w:val="00773409"/>
    <w:rsid w:val="0078371E"/>
    <w:rsid w:val="00784133"/>
    <w:rsid w:val="00785AEF"/>
    <w:rsid w:val="0078780F"/>
    <w:rsid w:val="00792F6A"/>
    <w:rsid w:val="00794446"/>
    <w:rsid w:val="00795248"/>
    <w:rsid w:val="007979B7"/>
    <w:rsid w:val="007A1CD5"/>
    <w:rsid w:val="007B394C"/>
    <w:rsid w:val="007B580E"/>
    <w:rsid w:val="007B64FF"/>
    <w:rsid w:val="007B6F5E"/>
    <w:rsid w:val="007C2C11"/>
    <w:rsid w:val="007D2BAC"/>
    <w:rsid w:val="007D52C2"/>
    <w:rsid w:val="007D7414"/>
    <w:rsid w:val="007E3442"/>
    <w:rsid w:val="007E448D"/>
    <w:rsid w:val="007F3BB8"/>
    <w:rsid w:val="007F599E"/>
    <w:rsid w:val="00801607"/>
    <w:rsid w:val="008022E8"/>
    <w:rsid w:val="00805830"/>
    <w:rsid w:val="008060DE"/>
    <w:rsid w:val="00807261"/>
    <w:rsid w:val="00821914"/>
    <w:rsid w:val="00821C81"/>
    <w:rsid w:val="00833059"/>
    <w:rsid w:val="008401A2"/>
    <w:rsid w:val="00841797"/>
    <w:rsid w:val="00841FE1"/>
    <w:rsid w:val="00854799"/>
    <w:rsid w:val="00860FDC"/>
    <w:rsid w:val="008618E0"/>
    <w:rsid w:val="00862433"/>
    <w:rsid w:val="008665DF"/>
    <w:rsid w:val="00866D75"/>
    <w:rsid w:val="00870510"/>
    <w:rsid w:val="00875A75"/>
    <w:rsid w:val="008864E5"/>
    <w:rsid w:val="00896FA1"/>
    <w:rsid w:val="008A0452"/>
    <w:rsid w:val="008A25F3"/>
    <w:rsid w:val="008A26E2"/>
    <w:rsid w:val="008A6CAE"/>
    <w:rsid w:val="008B2BD1"/>
    <w:rsid w:val="008B5299"/>
    <w:rsid w:val="008C00A7"/>
    <w:rsid w:val="008C6EE9"/>
    <w:rsid w:val="008C7ED5"/>
    <w:rsid w:val="008D0170"/>
    <w:rsid w:val="008D03F1"/>
    <w:rsid w:val="008D0ED9"/>
    <w:rsid w:val="008D21DB"/>
    <w:rsid w:val="008D44F2"/>
    <w:rsid w:val="008E2D55"/>
    <w:rsid w:val="008E5276"/>
    <w:rsid w:val="008F0F1B"/>
    <w:rsid w:val="00900BB1"/>
    <w:rsid w:val="00907D73"/>
    <w:rsid w:val="00915EFB"/>
    <w:rsid w:val="00924167"/>
    <w:rsid w:val="009334A6"/>
    <w:rsid w:val="009346BD"/>
    <w:rsid w:val="00944865"/>
    <w:rsid w:val="00944F8C"/>
    <w:rsid w:val="00946F21"/>
    <w:rsid w:val="00962158"/>
    <w:rsid w:val="00971C29"/>
    <w:rsid w:val="00971E31"/>
    <w:rsid w:val="00973C2D"/>
    <w:rsid w:val="00981ED1"/>
    <w:rsid w:val="009867B7"/>
    <w:rsid w:val="00986A94"/>
    <w:rsid w:val="009904E0"/>
    <w:rsid w:val="009929F6"/>
    <w:rsid w:val="00992F68"/>
    <w:rsid w:val="00993CD2"/>
    <w:rsid w:val="0099416D"/>
    <w:rsid w:val="0099542B"/>
    <w:rsid w:val="009A14FC"/>
    <w:rsid w:val="009A1B47"/>
    <w:rsid w:val="009A630C"/>
    <w:rsid w:val="009B021D"/>
    <w:rsid w:val="009B33C9"/>
    <w:rsid w:val="009B3C2A"/>
    <w:rsid w:val="009C26D0"/>
    <w:rsid w:val="009C604E"/>
    <w:rsid w:val="009D3A3A"/>
    <w:rsid w:val="009D475D"/>
    <w:rsid w:val="009D4F4D"/>
    <w:rsid w:val="009D67C0"/>
    <w:rsid w:val="009D6832"/>
    <w:rsid w:val="009E03D6"/>
    <w:rsid w:val="009E520A"/>
    <w:rsid w:val="009E617D"/>
    <w:rsid w:val="009E6C3D"/>
    <w:rsid w:val="009E6EE9"/>
    <w:rsid w:val="009F274B"/>
    <w:rsid w:val="009F58BA"/>
    <w:rsid w:val="00A005D0"/>
    <w:rsid w:val="00A01232"/>
    <w:rsid w:val="00A126B6"/>
    <w:rsid w:val="00A13BDB"/>
    <w:rsid w:val="00A14744"/>
    <w:rsid w:val="00A17805"/>
    <w:rsid w:val="00A235B3"/>
    <w:rsid w:val="00A24785"/>
    <w:rsid w:val="00A255A4"/>
    <w:rsid w:val="00A2656C"/>
    <w:rsid w:val="00A3019E"/>
    <w:rsid w:val="00A35AA7"/>
    <w:rsid w:val="00A42018"/>
    <w:rsid w:val="00A4276B"/>
    <w:rsid w:val="00A47355"/>
    <w:rsid w:val="00A52DE4"/>
    <w:rsid w:val="00A53A2D"/>
    <w:rsid w:val="00A60080"/>
    <w:rsid w:val="00A6056B"/>
    <w:rsid w:val="00A60A18"/>
    <w:rsid w:val="00A61C87"/>
    <w:rsid w:val="00A64160"/>
    <w:rsid w:val="00A659D3"/>
    <w:rsid w:val="00A710CB"/>
    <w:rsid w:val="00A73082"/>
    <w:rsid w:val="00A760E0"/>
    <w:rsid w:val="00A76911"/>
    <w:rsid w:val="00A820D3"/>
    <w:rsid w:val="00A84E41"/>
    <w:rsid w:val="00A940A4"/>
    <w:rsid w:val="00A973B2"/>
    <w:rsid w:val="00AA13F6"/>
    <w:rsid w:val="00AA1E96"/>
    <w:rsid w:val="00AA273F"/>
    <w:rsid w:val="00AA288E"/>
    <w:rsid w:val="00AA2D47"/>
    <w:rsid w:val="00AA5590"/>
    <w:rsid w:val="00AA5965"/>
    <w:rsid w:val="00AB0330"/>
    <w:rsid w:val="00AB5DE6"/>
    <w:rsid w:val="00AB7201"/>
    <w:rsid w:val="00AC1A68"/>
    <w:rsid w:val="00AC22E3"/>
    <w:rsid w:val="00AC3C84"/>
    <w:rsid w:val="00AC6573"/>
    <w:rsid w:val="00AC6A3F"/>
    <w:rsid w:val="00AD75F4"/>
    <w:rsid w:val="00AE1DB8"/>
    <w:rsid w:val="00AE1EDE"/>
    <w:rsid w:val="00AF0660"/>
    <w:rsid w:val="00AF06F0"/>
    <w:rsid w:val="00AF65FB"/>
    <w:rsid w:val="00B1017F"/>
    <w:rsid w:val="00B217CB"/>
    <w:rsid w:val="00B23022"/>
    <w:rsid w:val="00B2308B"/>
    <w:rsid w:val="00B26C4C"/>
    <w:rsid w:val="00B26C80"/>
    <w:rsid w:val="00B351E1"/>
    <w:rsid w:val="00B363E4"/>
    <w:rsid w:val="00B40A5C"/>
    <w:rsid w:val="00B42459"/>
    <w:rsid w:val="00B451D9"/>
    <w:rsid w:val="00B4665F"/>
    <w:rsid w:val="00B46873"/>
    <w:rsid w:val="00B46DCF"/>
    <w:rsid w:val="00B5176C"/>
    <w:rsid w:val="00B611D3"/>
    <w:rsid w:val="00B63360"/>
    <w:rsid w:val="00B66BE0"/>
    <w:rsid w:val="00B71B75"/>
    <w:rsid w:val="00B72DBC"/>
    <w:rsid w:val="00B77816"/>
    <w:rsid w:val="00B80C3B"/>
    <w:rsid w:val="00B81894"/>
    <w:rsid w:val="00B81907"/>
    <w:rsid w:val="00B82E89"/>
    <w:rsid w:val="00B920F5"/>
    <w:rsid w:val="00B9249A"/>
    <w:rsid w:val="00BA2BBD"/>
    <w:rsid w:val="00BA3E13"/>
    <w:rsid w:val="00BA4CB9"/>
    <w:rsid w:val="00BA5C75"/>
    <w:rsid w:val="00BB35AC"/>
    <w:rsid w:val="00BB60D7"/>
    <w:rsid w:val="00BC33C4"/>
    <w:rsid w:val="00BD109A"/>
    <w:rsid w:val="00BD11EF"/>
    <w:rsid w:val="00BD13F3"/>
    <w:rsid w:val="00BD37EB"/>
    <w:rsid w:val="00BF3094"/>
    <w:rsid w:val="00BF73A9"/>
    <w:rsid w:val="00BF740B"/>
    <w:rsid w:val="00C04B81"/>
    <w:rsid w:val="00C1362F"/>
    <w:rsid w:val="00C148B8"/>
    <w:rsid w:val="00C15A18"/>
    <w:rsid w:val="00C175E9"/>
    <w:rsid w:val="00C208B2"/>
    <w:rsid w:val="00C22BF0"/>
    <w:rsid w:val="00C25309"/>
    <w:rsid w:val="00C44C75"/>
    <w:rsid w:val="00C471E7"/>
    <w:rsid w:val="00C47636"/>
    <w:rsid w:val="00C5105D"/>
    <w:rsid w:val="00C52CBF"/>
    <w:rsid w:val="00C60C59"/>
    <w:rsid w:val="00C6202E"/>
    <w:rsid w:val="00C67579"/>
    <w:rsid w:val="00C678A6"/>
    <w:rsid w:val="00C67B88"/>
    <w:rsid w:val="00C702F5"/>
    <w:rsid w:val="00C73132"/>
    <w:rsid w:val="00C75757"/>
    <w:rsid w:val="00C80696"/>
    <w:rsid w:val="00C80752"/>
    <w:rsid w:val="00C92E8B"/>
    <w:rsid w:val="00C931A2"/>
    <w:rsid w:val="00C9528D"/>
    <w:rsid w:val="00C95775"/>
    <w:rsid w:val="00CA01FC"/>
    <w:rsid w:val="00CA0572"/>
    <w:rsid w:val="00CA1055"/>
    <w:rsid w:val="00CA2C26"/>
    <w:rsid w:val="00CA6CC4"/>
    <w:rsid w:val="00CA7BB5"/>
    <w:rsid w:val="00CA7C1C"/>
    <w:rsid w:val="00CB2299"/>
    <w:rsid w:val="00CB7376"/>
    <w:rsid w:val="00CC278A"/>
    <w:rsid w:val="00CC6411"/>
    <w:rsid w:val="00CC7C54"/>
    <w:rsid w:val="00CD081E"/>
    <w:rsid w:val="00CD3B5C"/>
    <w:rsid w:val="00CE2B8F"/>
    <w:rsid w:val="00CE7BC8"/>
    <w:rsid w:val="00CF2117"/>
    <w:rsid w:val="00CF2EAC"/>
    <w:rsid w:val="00D042F8"/>
    <w:rsid w:val="00D1201A"/>
    <w:rsid w:val="00D14C9D"/>
    <w:rsid w:val="00D16248"/>
    <w:rsid w:val="00D169C3"/>
    <w:rsid w:val="00D172B9"/>
    <w:rsid w:val="00D203C5"/>
    <w:rsid w:val="00D21A83"/>
    <w:rsid w:val="00D26652"/>
    <w:rsid w:val="00D273F4"/>
    <w:rsid w:val="00D3091C"/>
    <w:rsid w:val="00D311C4"/>
    <w:rsid w:val="00D3438B"/>
    <w:rsid w:val="00D3474F"/>
    <w:rsid w:val="00D3548D"/>
    <w:rsid w:val="00D36AB4"/>
    <w:rsid w:val="00D46469"/>
    <w:rsid w:val="00D50BD3"/>
    <w:rsid w:val="00D51C8D"/>
    <w:rsid w:val="00D55929"/>
    <w:rsid w:val="00D60FC6"/>
    <w:rsid w:val="00D76383"/>
    <w:rsid w:val="00D801AB"/>
    <w:rsid w:val="00D81940"/>
    <w:rsid w:val="00D82453"/>
    <w:rsid w:val="00D83D9C"/>
    <w:rsid w:val="00D87FA6"/>
    <w:rsid w:val="00D9467C"/>
    <w:rsid w:val="00D95379"/>
    <w:rsid w:val="00D97C03"/>
    <w:rsid w:val="00DA01F3"/>
    <w:rsid w:val="00DA515C"/>
    <w:rsid w:val="00DA5AA0"/>
    <w:rsid w:val="00DA7E86"/>
    <w:rsid w:val="00DB0A27"/>
    <w:rsid w:val="00DB1458"/>
    <w:rsid w:val="00DB2F90"/>
    <w:rsid w:val="00DB5012"/>
    <w:rsid w:val="00DB60F1"/>
    <w:rsid w:val="00DB6421"/>
    <w:rsid w:val="00DB6AD9"/>
    <w:rsid w:val="00DB7507"/>
    <w:rsid w:val="00DB7805"/>
    <w:rsid w:val="00DB7C63"/>
    <w:rsid w:val="00DC0882"/>
    <w:rsid w:val="00DC0979"/>
    <w:rsid w:val="00DC39BF"/>
    <w:rsid w:val="00DC4BCA"/>
    <w:rsid w:val="00DC53AA"/>
    <w:rsid w:val="00DC5689"/>
    <w:rsid w:val="00DC6092"/>
    <w:rsid w:val="00DD033C"/>
    <w:rsid w:val="00DE06A3"/>
    <w:rsid w:val="00DE1052"/>
    <w:rsid w:val="00DE1491"/>
    <w:rsid w:val="00DE4D50"/>
    <w:rsid w:val="00DE5438"/>
    <w:rsid w:val="00DF06D2"/>
    <w:rsid w:val="00E00424"/>
    <w:rsid w:val="00E01E55"/>
    <w:rsid w:val="00E03F06"/>
    <w:rsid w:val="00E05DEA"/>
    <w:rsid w:val="00E11C79"/>
    <w:rsid w:val="00E15C08"/>
    <w:rsid w:val="00E171E2"/>
    <w:rsid w:val="00E2205C"/>
    <w:rsid w:val="00E2576B"/>
    <w:rsid w:val="00E25DD8"/>
    <w:rsid w:val="00E30B71"/>
    <w:rsid w:val="00E3226A"/>
    <w:rsid w:val="00E32534"/>
    <w:rsid w:val="00E32B2F"/>
    <w:rsid w:val="00E33497"/>
    <w:rsid w:val="00E3675D"/>
    <w:rsid w:val="00E37C14"/>
    <w:rsid w:val="00E40A14"/>
    <w:rsid w:val="00E44D98"/>
    <w:rsid w:val="00E4609D"/>
    <w:rsid w:val="00E46AF0"/>
    <w:rsid w:val="00E50A9B"/>
    <w:rsid w:val="00E52601"/>
    <w:rsid w:val="00E526AA"/>
    <w:rsid w:val="00E60BF4"/>
    <w:rsid w:val="00E613B6"/>
    <w:rsid w:val="00E743EE"/>
    <w:rsid w:val="00E74C58"/>
    <w:rsid w:val="00E75DA3"/>
    <w:rsid w:val="00E77BCD"/>
    <w:rsid w:val="00E77ECC"/>
    <w:rsid w:val="00E80F87"/>
    <w:rsid w:val="00E824CE"/>
    <w:rsid w:val="00E82A13"/>
    <w:rsid w:val="00E83B2F"/>
    <w:rsid w:val="00E847BD"/>
    <w:rsid w:val="00E862BE"/>
    <w:rsid w:val="00E87318"/>
    <w:rsid w:val="00E93851"/>
    <w:rsid w:val="00E93FBC"/>
    <w:rsid w:val="00E9637A"/>
    <w:rsid w:val="00EA0196"/>
    <w:rsid w:val="00EA603E"/>
    <w:rsid w:val="00EA7312"/>
    <w:rsid w:val="00EB5C25"/>
    <w:rsid w:val="00EB7A38"/>
    <w:rsid w:val="00EB7C0F"/>
    <w:rsid w:val="00EC0AC7"/>
    <w:rsid w:val="00EC45FF"/>
    <w:rsid w:val="00ED0F32"/>
    <w:rsid w:val="00ED2A2D"/>
    <w:rsid w:val="00ED4786"/>
    <w:rsid w:val="00ED5FAF"/>
    <w:rsid w:val="00EE3F11"/>
    <w:rsid w:val="00EE763B"/>
    <w:rsid w:val="00EF335F"/>
    <w:rsid w:val="00EF583B"/>
    <w:rsid w:val="00F03AE2"/>
    <w:rsid w:val="00F04B14"/>
    <w:rsid w:val="00F05D4C"/>
    <w:rsid w:val="00F11667"/>
    <w:rsid w:val="00F12622"/>
    <w:rsid w:val="00F14C34"/>
    <w:rsid w:val="00F15711"/>
    <w:rsid w:val="00F2499B"/>
    <w:rsid w:val="00F27609"/>
    <w:rsid w:val="00F35B15"/>
    <w:rsid w:val="00F41CE7"/>
    <w:rsid w:val="00F45CD0"/>
    <w:rsid w:val="00F57B24"/>
    <w:rsid w:val="00F61416"/>
    <w:rsid w:val="00F6156D"/>
    <w:rsid w:val="00F652FA"/>
    <w:rsid w:val="00F6734C"/>
    <w:rsid w:val="00F848EF"/>
    <w:rsid w:val="00F849A1"/>
    <w:rsid w:val="00F84CCD"/>
    <w:rsid w:val="00F84D80"/>
    <w:rsid w:val="00F85969"/>
    <w:rsid w:val="00F87064"/>
    <w:rsid w:val="00F925E1"/>
    <w:rsid w:val="00F927B6"/>
    <w:rsid w:val="00F96716"/>
    <w:rsid w:val="00F97125"/>
    <w:rsid w:val="00FA0CDF"/>
    <w:rsid w:val="00FA451B"/>
    <w:rsid w:val="00FA556D"/>
    <w:rsid w:val="00FB09FD"/>
    <w:rsid w:val="00FB1796"/>
    <w:rsid w:val="00FB5EA5"/>
    <w:rsid w:val="00FB7113"/>
    <w:rsid w:val="00FC1605"/>
    <w:rsid w:val="00FC2F12"/>
    <w:rsid w:val="00FC5800"/>
    <w:rsid w:val="00FC62EE"/>
    <w:rsid w:val="00FD2163"/>
    <w:rsid w:val="00FD6A1C"/>
    <w:rsid w:val="00FD6C79"/>
    <w:rsid w:val="00FD7048"/>
    <w:rsid w:val="00FE05CC"/>
    <w:rsid w:val="00FE1174"/>
    <w:rsid w:val="00FE47F1"/>
    <w:rsid w:val="00FE77C8"/>
    <w:rsid w:val="00FF0B2E"/>
    <w:rsid w:val="00FF0FD5"/>
    <w:rsid w:val="00FF2211"/>
    <w:rsid w:val="00FF4DEA"/>
    <w:rsid w:val="01DC12A9"/>
    <w:rsid w:val="02C303EB"/>
    <w:rsid w:val="02D3622C"/>
    <w:rsid w:val="02F46CE9"/>
    <w:rsid w:val="03541FB3"/>
    <w:rsid w:val="04A65DE3"/>
    <w:rsid w:val="05277AB9"/>
    <w:rsid w:val="05AD34F6"/>
    <w:rsid w:val="06A24DEC"/>
    <w:rsid w:val="08867BEB"/>
    <w:rsid w:val="094523C3"/>
    <w:rsid w:val="09B15964"/>
    <w:rsid w:val="09C83B99"/>
    <w:rsid w:val="0A3D69F9"/>
    <w:rsid w:val="0ACD422E"/>
    <w:rsid w:val="0D6B4C51"/>
    <w:rsid w:val="0DD76ACE"/>
    <w:rsid w:val="0EA00D23"/>
    <w:rsid w:val="0EAD62A1"/>
    <w:rsid w:val="10FB6A28"/>
    <w:rsid w:val="125C3B61"/>
    <w:rsid w:val="128008EB"/>
    <w:rsid w:val="12FD2D96"/>
    <w:rsid w:val="13794351"/>
    <w:rsid w:val="13CD7770"/>
    <w:rsid w:val="15D44AFE"/>
    <w:rsid w:val="17DE776D"/>
    <w:rsid w:val="1C556393"/>
    <w:rsid w:val="1D541688"/>
    <w:rsid w:val="1DBA44D9"/>
    <w:rsid w:val="1E9C306D"/>
    <w:rsid w:val="20D04114"/>
    <w:rsid w:val="20E57DCB"/>
    <w:rsid w:val="24104214"/>
    <w:rsid w:val="247D53A9"/>
    <w:rsid w:val="258C2CE2"/>
    <w:rsid w:val="258E57EB"/>
    <w:rsid w:val="26FD5BC3"/>
    <w:rsid w:val="28AD319D"/>
    <w:rsid w:val="28CA1357"/>
    <w:rsid w:val="28F01BE8"/>
    <w:rsid w:val="2BC517DF"/>
    <w:rsid w:val="2CE52F48"/>
    <w:rsid w:val="2D0A7F6A"/>
    <w:rsid w:val="2D730004"/>
    <w:rsid w:val="2D8172D3"/>
    <w:rsid w:val="2DBF6996"/>
    <w:rsid w:val="2E331DB3"/>
    <w:rsid w:val="2EDD72FD"/>
    <w:rsid w:val="2F47173E"/>
    <w:rsid w:val="3057706B"/>
    <w:rsid w:val="322D572B"/>
    <w:rsid w:val="325E6A6E"/>
    <w:rsid w:val="349D3C6F"/>
    <w:rsid w:val="34BD32E6"/>
    <w:rsid w:val="34CD75A8"/>
    <w:rsid w:val="38315AC0"/>
    <w:rsid w:val="383B4900"/>
    <w:rsid w:val="3B120DF4"/>
    <w:rsid w:val="3E0C3FE4"/>
    <w:rsid w:val="3E412892"/>
    <w:rsid w:val="3E7B715B"/>
    <w:rsid w:val="3E877C53"/>
    <w:rsid w:val="3EE602DA"/>
    <w:rsid w:val="42C632A7"/>
    <w:rsid w:val="45267A5F"/>
    <w:rsid w:val="46606256"/>
    <w:rsid w:val="46A56B0A"/>
    <w:rsid w:val="47E26BCC"/>
    <w:rsid w:val="48DA3AC9"/>
    <w:rsid w:val="48DF402C"/>
    <w:rsid w:val="4A654B04"/>
    <w:rsid w:val="4AB040B7"/>
    <w:rsid w:val="4AB3541C"/>
    <w:rsid w:val="4ADE239D"/>
    <w:rsid w:val="4FCB3248"/>
    <w:rsid w:val="507B6D2E"/>
    <w:rsid w:val="540779EE"/>
    <w:rsid w:val="5658041E"/>
    <w:rsid w:val="567315FF"/>
    <w:rsid w:val="58A46818"/>
    <w:rsid w:val="59AD3188"/>
    <w:rsid w:val="5B491145"/>
    <w:rsid w:val="5D681D80"/>
    <w:rsid w:val="5F1D2B1B"/>
    <w:rsid w:val="5F5759F9"/>
    <w:rsid w:val="60491AA9"/>
    <w:rsid w:val="6068587F"/>
    <w:rsid w:val="6132118B"/>
    <w:rsid w:val="61375398"/>
    <w:rsid w:val="61C16E01"/>
    <w:rsid w:val="62AA2FB7"/>
    <w:rsid w:val="635B4D9A"/>
    <w:rsid w:val="64AB0FF9"/>
    <w:rsid w:val="671C2E39"/>
    <w:rsid w:val="675B0058"/>
    <w:rsid w:val="68C809F2"/>
    <w:rsid w:val="6978636B"/>
    <w:rsid w:val="6A680145"/>
    <w:rsid w:val="6AD840A4"/>
    <w:rsid w:val="6BEF7851"/>
    <w:rsid w:val="6C56439B"/>
    <w:rsid w:val="6D401BEB"/>
    <w:rsid w:val="6FC80EEC"/>
    <w:rsid w:val="707206F1"/>
    <w:rsid w:val="71BC3C81"/>
    <w:rsid w:val="71C5295A"/>
    <w:rsid w:val="72E85C7A"/>
    <w:rsid w:val="73727266"/>
    <w:rsid w:val="73D645EA"/>
    <w:rsid w:val="73EF021F"/>
    <w:rsid w:val="748000E5"/>
    <w:rsid w:val="74AD55C7"/>
    <w:rsid w:val="75466654"/>
    <w:rsid w:val="781A2A48"/>
    <w:rsid w:val="79340245"/>
    <w:rsid w:val="7BFB6949"/>
    <w:rsid w:val="7C605CE6"/>
    <w:rsid w:val="7E7658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autoRedefine/>
    <w:qFormat/>
    <w:uiPriority w:val="1"/>
    <w:pPr>
      <w:ind w:left="130" w:right="295"/>
      <w:jc w:val="center"/>
      <w:outlineLvl w:val="0"/>
    </w:pPr>
    <w:rPr>
      <w:rFonts w:ascii="微软雅黑" w:hAnsi="微软雅黑" w:eastAsia="微软雅黑" w:cs="微软雅黑"/>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9"/>
    <w:autoRedefine/>
    <w:qFormat/>
    <w:uiPriority w:val="1"/>
    <w:pPr>
      <w:spacing w:line="660" w:lineRule="exact"/>
      <w:ind w:left="440" w:right="62" w:rightChars="28" w:hanging="440"/>
    </w:pPr>
    <w:rPr>
      <w:rFonts w:ascii="黑体" w:hAnsi="黑体" w:eastAsia="黑体"/>
      <w:b/>
      <w:sz w:val="32"/>
      <w:szCs w:val="32"/>
    </w:rPr>
  </w:style>
  <w:style w:type="paragraph" w:styleId="4">
    <w:name w:val="Body Text Indent"/>
    <w:basedOn w:val="1"/>
    <w:link w:val="23"/>
    <w:unhideWhenUsed/>
    <w:qFormat/>
    <w:uiPriority w:val="0"/>
    <w:pPr>
      <w:spacing w:after="120"/>
      <w:ind w:left="420" w:leftChars="200"/>
    </w:pPr>
  </w:style>
  <w:style w:type="paragraph" w:styleId="5">
    <w:name w:val="Date"/>
    <w:basedOn w:val="1"/>
    <w:next w:val="1"/>
    <w:link w:val="20"/>
    <w:qFormat/>
    <w:uiPriority w:val="0"/>
    <w:pPr>
      <w:ind w:left="100" w:leftChars="2500"/>
    </w:pPr>
  </w:style>
  <w:style w:type="paragraph" w:styleId="6">
    <w:name w:val="footer"/>
    <w:basedOn w:val="1"/>
    <w:link w:val="18"/>
    <w:qFormat/>
    <w:uiPriority w:val="0"/>
    <w:pPr>
      <w:tabs>
        <w:tab w:val="center" w:pos="4153"/>
        <w:tab w:val="right" w:pos="8306"/>
      </w:tabs>
      <w:snapToGrid w:val="0"/>
    </w:pPr>
    <w:rPr>
      <w:sz w:val="18"/>
      <w:szCs w:val="18"/>
    </w:rPr>
  </w:style>
  <w:style w:type="paragraph" w:styleId="7">
    <w:name w:val="header"/>
    <w:basedOn w:val="1"/>
    <w:link w:val="17"/>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autoSpaceDE/>
      <w:autoSpaceDN/>
      <w:spacing w:before="100" w:beforeAutospacing="1" w:after="100" w:afterAutospacing="1" w:line="500" w:lineRule="exact"/>
    </w:pPr>
    <w:rPr>
      <w:rFonts w:ascii="宋体" w:hAnsi="宋体" w:eastAsia="宋体" w:cs="宋体"/>
      <w:sz w:val="24"/>
      <w:szCs w:val="24"/>
      <w:lang w:val="en-US" w:bidi="ar-SA"/>
    </w:rPr>
  </w:style>
  <w:style w:type="paragraph" w:styleId="9">
    <w:name w:val="Body Text First Indent 2"/>
    <w:basedOn w:val="4"/>
    <w:link w:val="24"/>
    <w:semiHidden/>
    <w:unhideWhenUsed/>
    <w:qFormat/>
    <w:uiPriority w:val="0"/>
    <w:pPr>
      <w:ind w:firstLine="420" w:firstLineChars="200"/>
    </w:pPr>
  </w:style>
  <w:style w:type="character" w:styleId="12">
    <w:name w:val="Strong"/>
    <w:basedOn w:val="11"/>
    <w:qFormat/>
    <w:uiPriority w:val="22"/>
    <w:rPr>
      <w:b/>
      <w:bCs/>
    </w:rPr>
  </w:style>
  <w:style w:type="character" w:styleId="13">
    <w:name w:val="Hyperlink"/>
    <w:basedOn w:val="11"/>
    <w:autoRedefine/>
    <w:unhideWhenUsed/>
    <w:qFormat/>
    <w:uiPriority w:val="99"/>
    <w:rPr>
      <w:color w:val="0000FF"/>
      <w:u w:val="single"/>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99"/>
    <w:pPr>
      <w:spacing w:before="183"/>
      <w:ind w:left="1068" w:hanging="321"/>
    </w:pPr>
  </w:style>
  <w:style w:type="paragraph" w:customStyle="1" w:styleId="16">
    <w:name w:val="Table Paragraph"/>
    <w:basedOn w:val="1"/>
    <w:autoRedefine/>
    <w:qFormat/>
    <w:uiPriority w:val="1"/>
  </w:style>
  <w:style w:type="character" w:customStyle="1" w:styleId="17">
    <w:name w:val="页眉 字符"/>
    <w:basedOn w:val="11"/>
    <w:link w:val="7"/>
    <w:autoRedefine/>
    <w:qFormat/>
    <w:uiPriority w:val="99"/>
    <w:rPr>
      <w:rFonts w:ascii="仿宋" w:hAnsi="仿宋" w:eastAsia="仿宋" w:cs="仿宋"/>
      <w:sz w:val="18"/>
      <w:szCs w:val="18"/>
      <w:lang w:val="zh-CN" w:bidi="zh-CN"/>
    </w:rPr>
  </w:style>
  <w:style w:type="character" w:customStyle="1" w:styleId="18">
    <w:name w:val="页脚 字符"/>
    <w:basedOn w:val="11"/>
    <w:link w:val="6"/>
    <w:autoRedefine/>
    <w:qFormat/>
    <w:uiPriority w:val="0"/>
    <w:rPr>
      <w:rFonts w:ascii="仿宋" w:hAnsi="仿宋" w:eastAsia="仿宋" w:cs="仿宋"/>
      <w:sz w:val="18"/>
      <w:szCs w:val="18"/>
      <w:lang w:val="zh-CN" w:bidi="zh-CN"/>
    </w:rPr>
  </w:style>
  <w:style w:type="character" w:customStyle="1" w:styleId="19">
    <w:name w:val="正文文本 字符"/>
    <w:basedOn w:val="11"/>
    <w:link w:val="3"/>
    <w:qFormat/>
    <w:uiPriority w:val="1"/>
    <w:rPr>
      <w:rFonts w:ascii="黑体" w:hAnsi="黑体" w:eastAsia="黑体" w:cs="仿宋"/>
      <w:b/>
      <w:sz w:val="32"/>
      <w:szCs w:val="32"/>
      <w:lang w:val="zh-CN" w:bidi="zh-CN"/>
    </w:rPr>
  </w:style>
  <w:style w:type="character" w:customStyle="1" w:styleId="20">
    <w:name w:val="日期 字符"/>
    <w:basedOn w:val="11"/>
    <w:link w:val="5"/>
    <w:autoRedefine/>
    <w:qFormat/>
    <w:uiPriority w:val="0"/>
    <w:rPr>
      <w:rFonts w:ascii="仿宋" w:hAnsi="仿宋" w:eastAsia="仿宋" w:cs="仿宋"/>
      <w:sz w:val="22"/>
      <w:szCs w:val="22"/>
      <w:lang w:val="zh-CN" w:bidi="zh-CN"/>
    </w:rPr>
  </w:style>
  <w:style w:type="character" w:customStyle="1" w:styleId="21">
    <w:name w:val="未处理的提及1"/>
    <w:basedOn w:val="11"/>
    <w:autoRedefine/>
    <w:semiHidden/>
    <w:unhideWhenUsed/>
    <w:qFormat/>
    <w:uiPriority w:val="99"/>
    <w:rPr>
      <w:color w:val="605E5C"/>
      <w:shd w:val="clear" w:color="auto" w:fill="E1DFDD"/>
    </w:rPr>
  </w:style>
  <w:style w:type="paragraph" w:customStyle="1" w:styleId="22">
    <w:name w:val="正文1"/>
    <w:qFormat/>
    <w:uiPriority w:val="0"/>
    <w:pPr>
      <w:framePr w:wrap="around" w:vAnchor="margin" w:hAnchor="text" w:y="1"/>
    </w:pPr>
    <w:rPr>
      <w:rFonts w:hint="eastAsia" w:ascii="Arial Unicode MS" w:hAnsi="Arial Unicode MS" w:eastAsia="Helvetica Neue" w:cs="Arial Unicode MS"/>
      <w:color w:val="000000"/>
      <w:sz w:val="22"/>
      <w:szCs w:val="22"/>
      <w:lang w:val="zh-CN" w:eastAsia="zh-CN" w:bidi="ar-SA"/>
    </w:rPr>
  </w:style>
  <w:style w:type="character" w:customStyle="1" w:styleId="23">
    <w:name w:val="正文文本缩进 字符"/>
    <w:basedOn w:val="11"/>
    <w:link w:val="4"/>
    <w:autoRedefine/>
    <w:qFormat/>
    <w:uiPriority w:val="0"/>
    <w:rPr>
      <w:rFonts w:ascii="仿宋" w:hAnsi="仿宋" w:eastAsia="仿宋" w:cs="仿宋"/>
      <w:sz w:val="22"/>
      <w:szCs w:val="22"/>
      <w:lang w:val="zh-CN" w:bidi="zh-CN"/>
    </w:rPr>
  </w:style>
  <w:style w:type="character" w:customStyle="1" w:styleId="24">
    <w:name w:val="正文文本首行缩进 2 字符"/>
    <w:basedOn w:val="23"/>
    <w:link w:val="9"/>
    <w:autoRedefine/>
    <w:semiHidden/>
    <w:qFormat/>
    <w:uiPriority w:val="0"/>
    <w:rPr>
      <w:rFonts w:ascii="仿宋" w:hAnsi="仿宋" w:eastAsia="仿宋" w:cs="仿宋"/>
      <w:sz w:val="22"/>
      <w:szCs w:val="22"/>
      <w:lang w:val="zh-CN" w:bidi="zh-CN"/>
    </w:rPr>
  </w:style>
  <w:style w:type="character" w:customStyle="1" w:styleId="25">
    <w:name w:val="text1"/>
    <w:autoRedefine/>
    <w:qFormat/>
    <w:uiPriority w:val="99"/>
    <w:rPr>
      <w:rFonts w:hint="default" w:ascii="Verdana" w:hAnsi="Verdana"/>
      <w:color w:val="000000"/>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9C7033-1059-4048-B991-116A2CAF1601}">
  <ds:schemaRefs/>
</ds:datastoreItem>
</file>

<file path=docProps/app.xml><?xml version="1.0" encoding="utf-8"?>
<Properties xmlns="http://schemas.openxmlformats.org/officeDocument/2006/extended-properties" xmlns:vt="http://schemas.openxmlformats.org/officeDocument/2006/docPropsVTypes">
  <Template>Normal</Template>
  <Pages>12</Pages>
  <Words>4698</Words>
  <Characters>4906</Characters>
  <Lines>34</Lines>
  <Paragraphs>9</Paragraphs>
  <TotalTime>0</TotalTime>
  <ScaleCrop>false</ScaleCrop>
  <LinksUpToDate>false</LinksUpToDate>
  <CharactersWithSpaces>5054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2025-01-11T04:04:00Z</dcterms:created>
  <dc:creator>Admin</dc:creator>
  <cp:lastModifiedBy>卷土重来</cp:lastModifiedBy>
  <dcterms:modified xsi:type="dcterms:W3CDTF">2025-07-08T07:55:41Z</dcterms:modified>
  <dc:title>合作协议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2018-11-29T00:00:00Z</vt:filetime>
  </property>
  <property fmtid="{D5CDD505-2E9C-101B-9397-08002B2CF9AE}" pid="3" name="Creator">
    <vt:lpwstr>WPS 文字</vt:lpwstr>
  </property>
  <property fmtid="{D5CDD505-2E9C-101B-9397-08002B2CF9AE}" pid="4" name="LastSaved">
    <vt:filetime>2018-11-30T00:00:00Z</vt:filetime>
  </property>
  <property fmtid="{D5CDD505-2E9C-101B-9397-08002B2CF9AE}" pid="5" name="KSOProductBuildVer">
    <vt:lpwstr>2052-12.1.0.21915</vt:lpwstr>
  </property>
  <property fmtid="{D5CDD505-2E9C-101B-9397-08002B2CF9AE}" pid="6" name="ICV">
    <vt:lpwstr>C45E5D6AC9B447BA8520475DEB22FFE7_13</vt:lpwstr>
  </property>
  <property fmtid="{D5CDD505-2E9C-101B-9397-08002B2CF9AE}" pid="7" name="KSOTemplateDocerSaveRecord">
    <vt:lpwstr>eyJoZGlkIjoiN2YzNjBkOTgyNWQ1YTMxYzM3MzMwNWFiODNmOWIzYWMiLCJ1c2VySWQiOiIyMzk0NjQwOTkifQ==</vt:lpwstr>
  </property>
</Properties>
</file>